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739A" w14:textId="77777777" w:rsidR="00A5131A" w:rsidRDefault="00A5131A" w:rsidP="00460285">
      <w:pPr>
        <w:pStyle w:val="Zkladnodstavec"/>
        <w:tabs>
          <w:tab w:val="left" w:pos="6804"/>
        </w:tabs>
        <w:spacing w:line="276" w:lineRule="auto"/>
        <w:ind w:right="139"/>
        <w:jc w:val="both"/>
        <w:rPr>
          <w:rFonts w:ascii="Arial" w:hAnsi="Arial" w:cs="Arial"/>
          <w:sz w:val="18"/>
          <w:szCs w:val="18"/>
        </w:rPr>
      </w:pPr>
    </w:p>
    <w:p w14:paraId="247C7363" w14:textId="6B865381" w:rsidR="00BA274A" w:rsidRDefault="00FB120D" w:rsidP="00460285">
      <w:pPr>
        <w:pStyle w:val="Zkladnodstavec"/>
        <w:tabs>
          <w:tab w:val="left" w:pos="6804"/>
        </w:tabs>
        <w:spacing w:line="276" w:lineRule="auto"/>
        <w:ind w:right="13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3545987" w14:textId="0BFF1C1F" w:rsidR="00DF2AC7" w:rsidRPr="00451B21" w:rsidRDefault="00164FE0" w:rsidP="00E95890">
      <w:pPr>
        <w:spacing w:before="240"/>
        <w:jc w:val="center"/>
        <w:rPr>
          <w:rFonts w:ascii="Arial" w:hAnsi="Arial" w:cs="Arial"/>
          <w:b/>
          <w:bCs/>
          <w:color w:val="2F2F2F"/>
          <w:sz w:val="24"/>
          <w:szCs w:val="24"/>
          <w:shd w:val="clear" w:color="auto" w:fill="FFFFFF"/>
        </w:rPr>
      </w:pPr>
      <w:r w:rsidRPr="00164FE0">
        <w:rPr>
          <w:rFonts w:ascii="Arial" w:hAnsi="Arial" w:cs="Arial"/>
          <w:b/>
          <w:bCs/>
          <w:color w:val="2F2F2F"/>
          <w:sz w:val="24"/>
          <w:szCs w:val="24"/>
          <w:shd w:val="clear" w:color="auto" w:fill="FFFFFF"/>
        </w:rPr>
        <w:t xml:space="preserve">Vyjádření Národní rozpočtové rady </w:t>
      </w:r>
      <w:r w:rsidR="009477F3">
        <w:rPr>
          <w:rFonts w:ascii="Arial" w:hAnsi="Arial" w:cs="Arial"/>
          <w:b/>
          <w:bCs/>
          <w:color w:val="2F2F2F"/>
          <w:sz w:val="24"/>
          <w:szCs w:val="24"/>
          <w:shd w:val="clear" w:color="auto" w:fill="FFFFFF"/>
        </w:rPr>
        <w:t xml:space="preserve">k </w:t>
      </w:r>
      <w:r w:rsidRPr="00164FE0">
        <w:rPr>
          <w:rFonts w:ascii="Arial" w:hAnsi="Arial" w:cs="Arial"/>
          <w:b/>
          <w:bCs/>
          <w:color w:val="2F2F2F"/>
          <w:sz w:val="24"/>
          <w:szCs w:val="24"/>
          <w:shd w:val="clear" w:color="auto" w:fill="FFFFFF"/>
        </w:rPr>
        <w:t>návrhu konsolidace veřejných financí</w:t>
      </w:r>
    </w:p>
    <w:p w14:paraId="561A4DFB" w14:textId="74D0AC9B" w:rsidR="003305AB" w:rsidRPr="00B16111" w:rsidRDefault="00DF0E1A" w:rsidP="00F876BA">
      <w:pPr>
        <w:pStyle w:val="BntextCharCharCharChar"/>
        <w:rPr>
          <w:rFonts w:ascii="Arial" w:hAnsi="Arial" w:cs="Arial"/>
          <w:b/>
          <w:bCs/>
          <w:i/>
          <w:iCs/>
          <w:color w:val="2F2F2F"/>
          <w:sz w:val="20"/>
          <w:szCs w:val="20"/>
          <w:shd w:val="clear" w:color="auto" w:fill="FFFFFF"/>
        </w:rPr>
      </w:pPr>
      <w:r w:rsidRPr="00B16111">
        <w:rPr>
          <w:rFonts w:ascii="Arial" w:hAnsi="Arial" w:cs="Arial"/>
          <w:b/>
          <w:bCs/>
          <w:color w:val="2F2F2F"/>
          <w:sz w:val="20"/>
          <w:szCs w:val="20"/>
          <w:shd w:val="clear" w:color="auto" w:fill="FFFFFF"/>
        </w:rPr>
        <w:t>11. 05. 2023</w:t>
      </w:r>
      <w:r w:rsidR="00625A38" w:rsidRPr="00B16111">
        <w:rPr>
          <w:rFonts w:ascii="Arial" w:hAnsi="Arial" w:cs="Arial"/>
          <w:b/>
          <w:bCs/>
          <w:color w:val="2F2F2F"/>
          <w:sz w:val="20"/>
          <w:szCs w:val="20"/>
          <w:shd w:val="clear" w:color="auto" w:fill="FFFFFF"/>
        </w:rPr>
        <w:t>, Praha –</w:t>
      </w:r>
      <w:r w:rsidR="00625A38" w:rsidRPr="00B16111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</w:t>
      </w:r>
      <w:r w:rsidRPr="00B16111">
        <w:rPr>
          <w:rFonts w:ascii="Arial" w:hAnsi="Arial" w:cs="Arial"/>
          <w:b/>
          <w:bCs/>
          <w:i/>
          <w:iCs/>
          <w:color w:val="2F2F2F"/>
          <w:sz w:val="20"/>
          <w:szCs w:val="20"/>
          <w:shd w:val="clear" w:color="auto" w:fill="FFFFFF"/>
        </w:rPr>
        <w:t>Národní rozpočtová rada oceňuje snahu vlády o přibrzdění tempa zadlužování ČR, velikost navrženého konsolidačního balíčku dle ní odpovídá současné ekonomické a fiskální situaci; současně varuje před dodatečným změkčováním při dalším projednávání v Parlamentu.</w:t>
      </w:r>
    </w:p>
    <w:p w14:paraId="662C0619" w14:textId="72757138" w:rsidR="0020748E" w:rsidRPr="00B16111" w:rsidRDefault="0020748E" w:rsidP="0020748E">
      <w:pPr>
        <w:pStyle w:val="BntextCharCharCharChar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  <w:r w:rsidRPr="00B16111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Dnes (11. května 2023) představila </w:t>
      </w:r>
      <w:r w:rsidR="006E65BF">
        <w:rPr>
          <w:rFonts w:ascii="Arial" w:hAnsi="Arial" w:cs="Arial"/>
          <w:color w:val="2F2F2F"/>
          <w:sz w:val="20"/>
          <w:szCs w:val="20"/>
          <w:shd w:val="clear" w:color="auto" w:fill="FFFFFF"/>
        </w:rPr>
        <w:t>V</w:t>
      </w:r>
      <w:r w:rsidRPr="00B16111">
        <w:rPr>
          <w:rFonts w:ascii="Arial" w:hAnsi="Arial" w:cs="Arial"/>
          <w:color w:val="2F2F2F"/>
          <w:sz w:val="20"/>
          <w:szCs w:val="20"/>
          <w:shd w:val="clear" w:color="auto" w:fill="FFFFFF"/>
        </w:rPr>
        <w:t>láda České republiky soubor opatření, která by měla vést ke snižování strukturálního deficitu od roku 2024 a ke zvyšování finanční udržitelnosti důchodového systému. Celkový očekávaný (krátkodobý) dopad navrhovaný úprav daňových a výdajových politik (bez důchodového systému) v hotovostním vyjádření se pohybuje na úrovni státního rozpočtu kolem 95</w:t>
      </w:r>
      <w:r w:rsidR="00402560">
        <w:rPr>
          <w:rFonts w:ascii="Arial" w:hAnsi="Arial" w:cs="Arial"/>
          <w:color w:val="2F2F2F"/>
          <w:sz w:val="20"/>
          <w:szCs w:val="20"/>
          <w:shd w:val="clear" w:color="auto" w:fill="FFFFFF"/>
        </w:rPr>
        <w:t> </w:t>
      </w:r>
      <w:r w:rsidRPr="00B16111">
        <w:rPr>
          <w:rFonts w:ascii="Arial" w:hAnsi="Arial" w:cs="Arial"/>
          <w:color w:val="2F2F2F"/>
          <w:sz w:val="20"/>
          <w:szCs w:val="20"/>
          <w:shd w:val="clear" w:color="auto" w:fill="FFFFFF"/>
        </w:rPr>
        <w:t>mld.</w:t>
      </w:r>
      <w:r w:rsidR="00402560">
        <w:rPr>
          <w:rFonts w:ascii="Arial" w:hAnsi="Arial" w:cs="Arial"/>
          <w:color w:val="2F2F2F"/>
          <w:sz w:val="20"/>
          <w:szCs w:val="20"/>
          <w:shd w:val="clear" w:color="auto" w:fill="FFFFFF"/>
        </w:rPr>
        <w:t> </w:t>
      </w:r>
      <w:r w:rsidRPr="00B16111">
        <w:rPr>
          <w:rFonts w:ascii="Arial" w:hAnsi="Arial" w:cs="Arial"/>
          <w:color w:val="2F2F2F"/>
          <w:sz w:val="20"/>
          <w:szCs w:val="20"/>
          <w:shd w:val="clear" w:color="auto" w:fill="FFFFFF"/>
        </w:rPr>
        <w:t>Kč v roce 2024. Konečný dopad na strukturální saldo veřejných financí v roce 2024 však bude pravděpodobně nižší, neboť lze zároveň očekávat souběžný nárůst některých výdajových položek (např. růst výdajů na armádu v souvislosti s plněním závazku NATO či nárůst výdajů na platy učitelů v</w:t>
      </w:r>
      <w:r w:rsidR="00402560">
        <w:rPr>
          <w:rFonts w:ascii="Arial" w:hAnsi="Arial" w:cs="Arial"/>
          <w:color w:val="2F2F2F"/>
          <w:sz w:val="20"/>
          <w:szCs w:val="20"/>
          <w:shd w:val="clear" w:color="auto" w:fill="FFFFFF"/>
        </w:rPr>
        <w:t> </w:t>
      </w:r>
      <w:r w:rsidRPr="00B16111">
        <w:rPr>
          <w:rFonts w:ascii="Arial" w:hAnsi="Arial" w:cs="Arial"/>
          <w:color w:val="2F2F2F"/>
          <w:sz w:val="20"/>
          <w:szCs w:val="20"/>
          <w:shd w:val="clear" w:color="auto" w:fill="FFFFFF"/>
        </w:rPr>
        <w:t>souvislosti s novelizací zákona o pedagogických pracovnících).</w:t>
      </w:r>
    </w:p>
    <w:p w14:paraId="41F2DC80" w14:textId="2166C74D" w:rsidR="0020748E" w:rsidRPr="00B16111" w:rsidRDefault="0020748E" w:rsidP="0020748E">
      <w:pPr>
        <w:pStyle w:val="BntextCharCharCharChar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  <w:r w:rsidRPr="00B16111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NRR oceňuje, že vláda přichází s konkrétními návrhy na snížení veřejných výdajů a zvýšení veřejných příjmů. Je to zcela v souladu se stanovisky NRR z minulosti, která upozorňovala na dlouhodobou neudržitelnost současné výše strukturálního deficitu. Navrhovaný rozsah konsolidace považuje NRR za přijatelný; svým objemem by neměl ohrozit ekonomické oživení a zároveň má potenciál nastolit pozitivní rozpočtové trendy do budoucnosti, pokud bude nastoupená konsolidační trajektorie udržena. </w:t>
      </w:r>
    </w:p>
    <w:p w14:paraId="1D01F82A" w14:textId="77777777" w:rsidR="0020748E" w:rsidRPr="00B16111" w:rsidRDefault="0020748E" w:rsidP="0020748E">
      <w:pPr>
        <w:pStyle w:val="BntextCharCharCharChar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  <w:r w:rsidRPr="00B16111">
        <w:rPr>
          <w:rFonts w:ascii="Arial" w:hAnsi="Arial" w:cs="Arial"/>
          <w:color w:val="2F2F2F"/>
          <w:sz w:val="20"/>
          <w:szCs w:val="20"/>
          <w:shd w:val="clear" w:color="auto" w:fill="FFFFFF"/>
        </w:rPr>
        <w:t>Část konsolidačních opatření (snížení dotací ze státního rozpočtu či státních fondů) bude mít dopady na hospodaření obecních a krajských rozpočtů, avšak vzhledem k tomu, že sektor místních vládních institucí vykazuje v posledních letech poměrně vysoké přebytky hospodaření, nedojde k ohrožení jeho stability a ani funkcí zajišťovaných obcemi a kraji.</w:t>
      </w:r>
    </w:p>
    <w:p w14:paraId="6F9A18AE" w14:textId="1213BB6A" w:rsidR="0020748E" w:rsidRPr="00B16111" w:rsidRDefault="0020748E" w:rsidP="0020748E">
      <w:pPr>
        <w:pStyle w:val="BntextCharCharCharChar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  <w:r w:rsidRPr="00B16111">
        <w:rPr>
          <w:rFonts w:ascii="Arial" w:hAnsi="Arial" w:cs="Arial"/>
          <w:color w:val="2F2F2F"/>
          <w:sz w:val="20"/>
          <w:szCs w:val="20"/>
          <w:shd w:val="clear" w:color="auto" w:fill="FFFFFF"/>
        </w:rPr>
        <w:t>Rozložení nové zátěže do přímých a nepřímých daní považuje NRR za vhodné, neboť nedojde k</w:t>
      </w:r>
      <w:r w:rsidR="00402560">
        <w:rPr>
          <w:rFonts w:ascii="Arial" w:hAnsi="Arial" w:cs="Arial"/>
          <w:color w:val="2F2F2F"/>
          <w:sz w:val="20"/>
          <w:szCs w:val="20"/>
          <w:shd w:val="clear" w:color="auto" w:fill="FFFFFF"/>
        </w:rPr>
        <w:t> </w:t>
      </w:r>
      <w:r w:rsidRPr="00B16111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významnému zvýšení distorze jednotlivých daní. Pozitivně lze též hodnotit úpravu sazeb DPH, která by měla vést k mírnému snížení daňové zátěže a zjednodušení systému. Výhody tohoto kroku tak převažují reziduální riziko, že v podmínkách stále vysoké inflace může dojít díky několika málo položkám ke zvýšení vnímané či skutečné inflace celého spotřebitelského koše.    Za pozitivní NRR považuje také snahu o eliminaci některých daňových úlev, zejména pak v případě daně z příjmů fyzických osob. </w:t>
      </w:r>
    </w:p>
    <w:p w14:paraId="05B1B89C" w14:textId="77777777" w:rsidR="0020748E" w:rsidRPr="00B16111" w:rsidRDefault="0020748E" w:rsidP="0020748E">
      <w:pPr>
        <w:pStyle w:val="BntextCharCharCharChar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  <w:r w:rsidRPr="00B16111">
        <w:rPr>
          <w:rFonts w:ascii="Arial" w:hAnsi="Arial" w:cs="Arial"/>
          <w:color w:val="2F2F2F"/>
          <w:sz w:val="20"/>
          <w:szCs w:val="20"/>
          <w:shd w:val="clear" w:color="auto" w:fill="FFFFFF"/>
        </w:rPr>
        <w:t>Opatření na výdajové straně se správně přímo nedotýkají investičních výdajů. Otázkou zůstává realizovatelnost a udržitelnost  redukce mzdových výdajů ve vládním sektoru v situaci, kdy toto nebude jednoznačně spojeno s omezováním počtu tabulkových míst.</w:t>
      </w:r>
    </w:p>
    <w:p w14:paraId="0E03F3A5" w14:textId="314AE603" w:rsidR="0020748E" w:rsidRPr="00B16111" w:rsidRDefault="0020748E" w:rsidP="0020748E">
      <w:pPr>
        <w:pStyle w:val="BntextCharCharCharChar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  <w:r w:rsidRPr="00B16111">
        <w:rPr>
          <w:rFonts w:ascii="Arial" w:hAnsi="Arial" w:cs="Arial"/>
          <w:color w:val="2F2F2F"/>
          <w:sz w:val="20"/>
          <w:szCs w:val="20"/>
          <w:shd w:val="clear" w:color="auto" w:fill="FFFFFF"/>
        </w:rPr>
        <w:t>V případě tzv. národních dotací NRR upozorňuje, že jejich dominantní část v případě kapitoly Ministerstva průmyslu a obchodu tvoří platby za obnovitelné zdroje</w:t>
      </w:r>
      <w:r w:rsidR="00402560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energie (OZE)</w:t>
      </w:r>
      <w:r w:rsidRPr="00B16111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. Pokud dojde k jejich redukci, bude nutné se zřejmě vrátit k systému z předešlých let, kdy byly placeny jednotlivými spotřebiteli elektrické energie. </w:t>
      </w:r>
    </w:p>
    <w:p w14:paraId="48A6B28B" w14:textId="58CC14F5" w:rsidR="0020748E" w:rsidRPr="00B16111" w:rsidRDefault="0020748E" w:rsidP="0020748E">
      <w:pPr>
        <w:pStyle w:val="BntextCharCharCharChar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  <w:r w:rsidRPr="00B16111">
        <w:rPr>
          <w:rFonts w:ascii="Arial" w:hAnsi="Arial" w:cs="Arial"/>
          <w:color w:val="2F2F2F"/>
          <w:sz w:val="20"/>
          <w:szCs w:val="20"/>
          <w:shd w:val="clear" w:color="auto" w:fill="FFFFFF"/>
        </w:rPr>
        <w:t>V oblasti představených změn v důchodovém systému se NRR domnívá, že ve své většině jdou správným směrem a jsou nutné pro zvýšení finanční udržitelnosti systému. Za systémově rizikové považuje NRR opět problematiku tzv. náročných povolání, které mohou při neudržitelné expanzi tohoto institutu snížit spravedlnost</w:t>
      </w:r>
      <w:r w:rsidR="00436232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</w:t>
      </w:r>
      <w:r w:rsidRPr="00B16111">
        <w:rPr>
          <w:rFonts w:ascii="Arial" w:hAnsi="Arial" w:cs="Arial"/>
          <w:color w:val="2F2F2F"/>
          <w:sz w:val="20"/>
          <w:szCs w:val="20"/>
          <w:shd w:val="clear" w:color="auto" w:fill="FFFFFF"/>
        </w:rPr>
        <w:t>a ufinancovatelnost</w:t>
      </w:r>
      <w:r w:rsidR="00436232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důchodového systému</w:t>
      </w:r>
      <w:r w:rsidRPr="00B16111"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. </w:t>
      </w:r>
    </w:p>
    <w:p w14:paraId="38FD57B3" w14:textId="3E1C61C7" w:rsidR="00AB7B85" w:rsidRPr="00B16111" w:rsidRDefault="0020748E" w:rsidP="0020748E">
      <w:pPr>
        <w:pStyle w:val="BntextCharCharCharChar"/>
        <w:rPr>
          <w:rFonts w:ascii="Arial" w:hAnsi="Arial" w:cs="Arial"/>
          <w:i/>
          <w:iCs/>
          <w:color w:val="2F2F2F"/>
          <w:sz w:val="20"/>
          <w:szCs w:val="20"/>
          <w:shd w:val="clear" w:color="auto" w:fill="FFFFFF"/>
        </w:rPr>
      </w:pPr>
      <w:r w:rsidRPr="00B16111">
        <w:rPr>
          <w:rFonts w:ascii="Arial" w:hAnsi="Arial" w:cs="Arial"/>
          <w:color w:val="2F2F2F"/>
          <w:sz w:val="20"/>
          <w:szCs w:val="20"/>
          <w:shd w:val="clear" w:color="auto" w:fill="FFFFFF"/>
        </w:rPr>
        <w:t>Podrobnější zhodnocení jednotlivých opatření představí NRR v následujícím týdnu po pečlivém prostudování a provedení potřebných analýz.</w:t>
      </w:r>
    </w:p>
    <w:p w14:paraId="65A461BB" w14:textId="1D943DB6" w:rsidR="0095088E" w:rsidRPr="00B16111" w:rsidRDefault="00E82A28" w:rsidP="00A852E6">
      <w:pPr>
        <w:pStyle w:val="BntextCharCharCharChar"/>
        <w:rPr>
          <w:rFonts w:ascii="Arial" w:hAnsi="Arial" w:cs="Arial"/>
          <w:b/>
          <w:bCs/>
          <w:color w:val="2F2F2F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F2F2F"/>
          <w:sz w:val="20"/>
          <w:szCs w:val="20"/>
          <w:shd w:val="clear" w:color="auto" w:fill="FFFFFF"/>
        </w:rPr>
        <w:t>---</w:t>
      </w:r>
    </w:p>
    <w:p w14:paraId="03F1F99C" w14:textId="10668B22" w:rsidR="007F7668" w:rsidRPr="00B16111" w:rsidRDefault="007F7668" w:rsidP="00AB7B85">
      <w:pPr>
        <w:spacing w:after="0"/>
        <w:jc w:val="both"/>
        <w:rPr>
          <w:rFonts w:ascii="Arial" w:hAnsi="Arial" w:cs="Arial"/>
          <w:b/>
          <w:bCs/>
          <w:color w:val="2F2F2F"/>
          <w:sz w:val="16"/>
          <w:szCs w:val="16"/>
          <w:shd w:val="clear" w:color="auto" w:fill="FFFFFF"/>
        </w:rPr>
      </w:pPr>
      <w:r w:rsidRPr="00B16111">
        <w:rPr>
          <w:rFonts w:ascii="Arial" w:hAnsi="Arial" w:cs="Arial"/>
          <w:b/>
          <w:bCs/>
          <w:color w:val="2F2F2F"/>
          <w:sz w:val="16"/>
          <w:szCs w:val="16"/>
          <w:shd w:val="clear" w:color="auto" w:fill="FFFFFF"/>
        </w:rPr>
        <w:t>O Národní rozpočtové radě</w:t>
      </w:r>
    </w:p>
    <w:p w14:paraId="5EFD7B4C" w14:textId="66BFACAA" w:rsidR="00436232" w:rsidRPr="00436232" w:rsidRDefault="00664424" w:rsidP="00C16583">
      <w:pPr>
        <w:jc w:val="both"/>
        <w:rPr>
          <w:rFonts w:ascii="Arial" w:hAnsi="Arial" w:cs="Arial"/>
          <w:color w:val="2F2F2F"/>
          <w:sz w:val="16"/>
          <w:szCs w:val="16"/>
          <w:shd w:val="clear" w:color="auto" w:fill="FFFFFF"/>
        </w:rPr>
      </w:pPr>
      <w:r w:rsidRPr="00B16111">
        <w:rPr>
          <w:rFonts w:ascii="Arial" w:hAnsi="Arial" w:cs="Arial"/>
          <w:color w:val="2F2F2F"/>
          <w:sz w:val="16"/>
          <w:szCs w:val="16"/>
          <w:shd w:val="clear" w:color="auto" w:fill="FFFFFF"/>
        </w:rPr>
        <w:t xml:space="preserve">Ve smyslu zákona o pravidlech rozpočtové odpovědnosti je Národní rozpočtová rada nezávislým tříčlenným orgánem a skládá se z předsedy a dvou členů, volených Poslaneckou sněmovnou. Předsedu Rady navrhuje poslanecké sněmovně vláda, další členy po jednom Česká národní banka a Senát. Standardní délka funkčního období člena Rady činí 6 let. </w:t>
      </w:r>
      <w:r w:rsidR="000F45D2" w:rsidRPr="00B16111">
        <w:rPr>
          <w:rFonts w:ascii="Arial" w:hAnsi="Arial" w:cs="Arial"/>
          <w:color w:val="2F2F2F"/>
          <w:sz w:val="16"/>
          <w:szCs w:val="16"/>
          <w:shd w:val="clear" w:color="auto" w:fill="FFFFFF"/>
        </w:rPr>
        <w:t>Předs</w:t>
      </w:r>
      <w:r w:rsidR="00D319A9" w:rsidRPr="00B16111">
        <w:rPr>
          <w:rFonts w:ascii="Arial" w:hAnsi="Arial" w:cs="Arial"/>
          <w:color w:val="2F2F2F"/>
          <w:sz w:val="16"/>
          <w:szCs w:val="16"/>
          <w:shd w:val="clear" w:color="auto" w:fill="FFFFFF"/>
        </w:rPr>
        <w:t>edou</w:t>
      </w:r>
      <w:r w:rsidR="000F45D2" w:rsidRPr="00B16111">
        <w:rPr>
          <w:rFonts w:ascii="Arial" w:hAnsi="Arial" w:cs="Arial"/>
          <w:color w:val="2F2F2F"/>
          <w:sz w:val="16"/>
          <w:szCs w:val="16"/>
          <w:shd w:val="clear" w:color="auto" w:fill="FFFFFF"/>
        </w:rPr>
        <w:t xml:space="preserve"> Rady je od </w:t>
      </w:r>
      <w:r w:rsidR="00D319A9" w:rsidRPr="00B16111">
        <w:rPr>
          <w:rFonts w:ascii="Arial" w:hAnsi="Arial" w:cs="Arial"/>
          <w:color w:val="2F2F2F"/>
          <w:sz w:val="16"/>
          <w:szCs w:val="16"/>
          <w:shd w:val="clear" w:color="auto" w:fill="FFFFFF"/>
        </w:rPr>
        <w:t xml:space="preserve">roku </w:t>
      </w:r>
      <w:r w:rsidR="00206C59">
        <w:rPr>
          <w:rFonts w:ascii="Arial" w:hAnsi="Arial" w:cs="Arial"/>
          <w:color w:val="2F2F2F"/>
          <w:sz w:val="16"/>
          <w:szCs w:val="16"/>
          <w:shd w:val="clear" w:color="auto" w:fill="FFFFFF"/>
        </w:rPr>
        <w:t>2022</w:t>
      </w:r>
      <w:r w:rsidR="006B36CF">
        <w:rPr>
          <w:rFonts w:ascii="Arial" w:hAnsi="Arial" w:cs="Arial"/>
          <w:color w:val="2F2F2F"/>
          <w:sz w:val="16"/>
          <w:szCs w:val="16"/>
          <w:shd w:val="clear" w:color="auto" w:fill="FFFFFF"/>
        </w:rPr>
        <w:t xml:space="preserve"> </w:t>
      </w:r>
      <w:r w:rsidR="00D319A9" w:rsidRPr="00B16111">
        <w:rPr>
          <w:rFonts w:ascii="Arial" w:hAnsi="Arial" w:cs="Arial"/>
          <w:color w:val="2F2F2F"/>
          <w:sz w:val="16"/>
          <w:szCs w:val="16"/>
          <w:shd w:val="clear" w:color="auto" w:fill="FFFFFF"/>
        </w:rPr>
        <w:t>Mojmír Hampl</w:t>
      </w:r>
      <w:r w:rsidR="000F45D2" w:rsidRPr="00B16111">
        <w:rPr>
          <w:rFonts w:ascii="Arial" w:hAnsi="Arial" w:cs="Arial"/>
          <w:color w:val="2F2F2F"/>
          <w:sz w:val="16"/>
          <w:szCs w:val="16"/>
          <w:shd w:val="clear" w:color="auto" w:fill="FFFFFF"/>
        </w:rPr>
        <w:t xml:space="preserve">. </w:t>
      </w:r>
      <w:r w:rsidR="005C1D2E">
        <w:rPr>
          <w:rFonts w:ascii="Arial" w:hAnsi="Arial" w:cs="Arial"/>
          <w:color w:val="2F2F2F"/>
          <w:sz w:val="16"/>
          <w:szCs w:val="16"/>
          <w:shd w:val="clear" w:color="auto" w:fill="FFFFFF"/>
        </w:rPr>
        <w:t xml:space="preserve">Členy NRR jsou Jan Pavel a Petr Musil. Více na </w:t>
      </w:r>
      <w:hyperlink r:id="rId9" w:history="1">
        <w:r w:rsidR="00436232" w:rsidRPr="006F0C58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www.unrr.cz</w:t>
        </w:r>
      </w:hyperlink>
      <w:r w:rsidR="00436232">
        <w:rPr>
          <w:rFonts w:ascii="Arial" w:hAnsi="Arial" w:cs="Arial"/>
          <w:color w:val="2F2F2F"/>
          <w:sz w:val="16"/>
          <w:szCs w:val="16"/>
          <w:shd w:val="clear" w:color="auto" w:fill="FFFFFF"/>
        </w:rPr>
        <w:t>.</w:t>
      </w:r>
    </w:p>
    <w:p w14:paraId="258C9DB8" w14:textId="5B102B35" w:rsidR="00391FA6" w:rsidRPr="00B16111" w:rsidRDefault="00460285" w:rsidP="00460285">
      <w:pPr>
        <w:ind w:right="139"/>
        <w:rPr>
          <w:rFonts w:ascii="Arial" w:hAnsi="Arial" w:cs="Arial"/>
          <w:sz w:val="20"/>
          <w:szCs w:val="20"/>
        </w:rPr>
      </w:pPr>
      <w:r w:rsidRPr="00B16111">
        <w:rPr>
          <w:rFonts w:ascii="Arial" w:hAnsi="Arial" w:cs="Arial"/>
          <w:sz w:val="20"/>
          <w:szCs w:val="20"/>
          <w:u w:val="single"/>
        </w:rPr>
        <w:t>Kontakt pro média</w:t>
      </w:r>
      <w:r w:rsidRPr="00B16111">
        <w:rPr>
          <w:rFonts w:ascii="Arial" w:hAnsi="Arial" w:cs="Arial"/>
          <w:sz w:val="20"/>
          <w:szCs w:val="20"/>
        </w:rPr>
        <w:t>:</w:t>
      </w:r>
      <w:r w:rsidRPr="00B16111">
        <w:rPr>
          <w:rFonts w:ascii="Arial" w:hAnsi="Arial" w:cs="Arial"/>
          <w:sz w:val="20"/>
          <w:szCs w:val="20"/>
        </w:rPr>
        <w:br/>
      </w:r>
      <w:r w:rsidR="00796953" w:rsidRPr="00B16111">
        <w:rPr>
          <w:rFonts w:ascii="Arial" w:hAnsi="Arial" w:cs="Arial"/>
          <w:sz w:val="20"/>
          <w:szCs w:val="20"/>
        </w:rPr>
        <w:t>Monika Petrásková</w:t>
      </w:r>
      <w:r w:rsidRPr="00B16111">
        <w:rPr>
          <w:rFonts w:ascii="Arial" w:hAnsi="Arial" w:cs="Arial"/>
          <w:sz w:val="20"/>
          <w:szCs w:val="20"/>
        </w:rPr>
        <w:br/>
        <w:t>+420</w:t>
      </w:r>
      <w:r w:rsidR="00F17E93" w:rsidRPr="00B16111">
        <w:rPr>
          <w:rFonts w:ascii="Arial" w:hAnsi="Arial" w:cs="Arial"/>
          <w:sz w:val="20"/>
          <w:szCs w:val="20"/>
        </w:rPr>
        <w:t> </w:t>
      </w:r>
      <w:r w:rsidRPr="00B16111">
        <w:rPr>
          <w:rFonts w:ascii="Arial" w:hAnsi="Arial" w:cs="Arial"/>
          <w:sz w:val="20"/>
          <w:szCs w:val="20"/>
        </w:rPr>
        <w:t>7</w:t>
      </w:r>
      <w:r w:rsidR="00F17E93" w:rsidRPr="00B16111">
        <w:rPr>
          <w:rFonts w:ascii="Arial" w:hAnsi="Arial" w:cs="Arial"/>
          <w:sz w:val="20"/>
          <w:szCs w:val="20"/>
        </w:rPr>
        <w:t>33 130 282</w:t>
      </w:r>
      <w:r w:rsidRPr="00B16111">
        <w:rPr>
          <w:rFonts w:ascii="Arial" w:hAnsi="Arial" w:cs="Arial"/>
          <w:sz w:val="20"/>
          <w:szCs w:val="20"/>
        </w:rPr>
        <w:br/>
      </w:r>
      <w:r w:rsidR="0030684E" w:rsidRPr="00B16111">
        <w:rPr>
          <w:rFonts w:ascii="Arial" w:hAnsi="Arial" w:cs="Arial"/>
          <w:sz w:val="20"/>
          <w:szCs w:val="20"/>
        </w:rPr>
        <w:t>media</w:t>
      </w:r>
      <w:r w:rsidRPr="00B16111">
        <w:rPr>
          <w:rFonts w:ascii="Arial" w:hAnsi="Arial" w:cs="Arial"/>
          <w:sz w:val="20"/>
          <w:szCs w:val="20"/>
        </w:rPr>
        <w:t>@unrr.cz</w:t>
      </w:r>
      <w:r w:rsidRPr="00B16111">
        <w:rPr>
          <w:rFonts w:ascii="Arial" w:hAnsi="Arial" w:cs="Arial"/>
          <w:sz w:val="20"/>
          <w:szCs w:val="20"/>
        </w:rPr>
        <w:br/>
      </w:r>
    </w:p>
    <w:sectPr w:rsidR="00391FA6" w:rsidRPr="00B16111" w:rsidSect="00E82A28">
      <w:headerReference w:type="default" r:id="rId10"/>
      <w:footerReference w:type="default" r:id="rId11"/>
      <w:pgSz w:w="11906" w:h="16838"/>
      <w:pgMar w:top="1276" w:right="1417" w:bottom="85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F060D" w14:textId="77777777" w:rsidR="00C03A0C" w:rsidRDefault="00C03A0C" w:rsidP="006B2CBF">
      <w:pPr>
        <w:spacing w:after="0" w:line="240" w:lineRule="auto"/>
      </w:pPr>
      <w:r>
        <w:separator/>
      </w:r>
    </w:p>
  </w:endnote>
  <w:endnote w:type="continuationSeparator" w:id="0">
    <w:p w14:paraId="1F34849B" w14:textId="77777777" w:rsidR="00C03A0C" w:rsidRDefault="00C03A0C" w:rsidP="006B2CBF">
      <w:pPr>
        <w:spacing w:after="0" w:line="240" w:lineRule="auto"/>
      </w:pPr>
      <w:r>
        <w:continuationSeparator/>
      </w:r>
    </w:p>
  </w:endnote>
  <w:endnote w:type="continuationNotice" w:id="1">
    <w:p w14:paraId="0E606A55" w14:textId="77777777" w:rsidR="00C03A0C" w:rsidRDefault="00C03A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7099" w14:textId="6B3797BE" w:rsidR="00312ECB" w:rsidRDefault="00227510" w:rsidP="00032D9B">
    <w:pPr>
      <w:pStyle w:val="Zkladnodstavec"/>
      <w:spacing w:line="360" w:lineRule="auto"/>
      <w:rPr>
        <w:rFonts w:ascii="Arial" w:hAnsi="Arial" w:cs="Arial"/>
        <w:color w:val="808080" w:themeColor="background1" w:themeShade="80"/>
        <w:sz w:val="17"/>
        <w:szCs w:val="17"/>
      </w:rPr>
    </w:pPr>
    <w:r>
      <w:rPr>
        <w:rFonts w:ascii="Arial" w:hAnsi="Arial" w:cs="Arial"/>
        <w:noProof/>
        <w:color w:val="808080" w:themeColor="background1" w:themeShade="80"/>
        <w:sz w:val="17"/>
        <w:szCs w:val="17"/>
      </w:rPr>
      <w:drawing>
        <wp:inline distT="0" distB="0" distL="0" distR="0" wp14:anchorId="0CBE181B" wp14:editId="1FC8339E">
          <wp:extent cx="391153" cy="219761"/>
          <wp:effectExtent l="0" t="0" r="9525" b="8890"/>
          <wp:docPr id="1948794126" name="Obrázek 1948794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rve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664" cy="23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CC6FC7" w14:textId="1B7416A9" w:rsidR="00312ECB" w:rsidRPr="006F3D8E" w:rsidRDefault="00A5131A" w:rsidP="00A5131A">
    <w:pPr>
      <w:autoSpaceDE w:val="0"/>
      <w:autoSpaceDN w:val="0"/>
      <w:adjustRightInd w:val="0"/>
      <w:spacing w:after="0" w:line="360" w:lineRule="auto"/>
      <w:textAlignment w:val="center"/>
      <w:rPr>
        <w:rFonts w:ascii="Arial" w:hAnsi="Arial" w:cs="Arial"/>
        <w:color w:val="808080" w:themeColor="background1" w:themeShade="80"/>
        <w:sz w:val="17"/>
        <w:szCs w:val="17"/>
      </w:rPr>
    </w:pPr>
    <w:r>
      <w:rPr>
        <w:rFonts w:ascii="Arial" w:hAnsi="Arial" w:cs="Arial"/>
        <w:color w:val="808080" w:themeColor="background1" w:themeShade="80"/>
        <w:sz w:val="17"/>
        <w:szCs w:val="17"/>
      </w:rPr>
      <w:t xml:space="preserve">     </w:t>
    </w:r>
    <w:r w:rsidR="006F16F2">
      <w:rPr>
        <w:rFonts w:ascii="Arial" w:hAnsi="Arial" w:cs="Arial"/>
        <w:color w:val="808080" w:themeColor="background1" w:themeShade="80"/>
        <w:sz w:val="17"/>
        <w:szCs w:val="17"/>
      </w:rPr>
      <w:t xml:space="preserve">Úřad 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>Národní rozpočtov</w:t>
    </w:r>
    <w:r w:rsidR="006F16F2">
      <w:rPr>
        <w:rFonts w:ascii="Arial" w:hAnsi="Arial" w:cs="Arial"/>
        <w:color w:val="808080" w:themeColor="background1" w:themeShade="80"/>
        <w:sz w:val="17"/>
        <w:szCs w:val="17"/>
      </w:rPr>
      <w:t>é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 xml:space="preserve"> rad</w:t>
    </w:r>
    <w:r w:rsidR="006F16F2">
      <w:rPr>
        <w:rFonts w:ascii="Arial" w:hAnsi="Arial" w:cs="Arial"/>
        <w:color w:val="808080" w:themeColor="background1" w:themeShade="80"/>
        <w:sz w:val="17"/>
        <w:szCs w:val="17"/>
      </w:rPr>
      <w:t>y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 xml:space="preserve"> </w:t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 w:rsidR="007113E6">
      <w:rPr>
        <w:rFonts w:ascii="Arial" w:hAnsi="Arial" w:cs="Arial"/>
        <w:color w:val="808080" w:themeColor="background1" w:themeShade="80"/>
        <w:sz w:val="17"/>
        <w:szCs w:val="17"/>
      </w:rPr>
      <w:t>+420 227 771 010</w:t>
    </w:r>
  </w:p>
  <w:p w14:paraId="05E9091A" w14:textId="584FBFF0" w:rsidR="00312ECB" w:rsidRPr="00A5131A" w:rsidRDefault="00A5131A" w:rsidP="00A5131A">
    <w:pPr>
      <w:autoSpaceDE w:val="0"/>
      <w:autoSpaceDN w:val="0"/>
      <w:adjustRightInd w:val="0"/>
      <w:spacing w:after="0" w:line="360" w:lineRule="auto"/>
      <w:textAlignment w:val="center"/>
      <w:rPr>
        <w:rFonts w:ascii="Arial" w:hAnsi="Arial" w:cs="Arial"/>
        <w:color w:val="808080" w:themeColor="background1" w:themeShade="80"/>
        <w:sz w:val="17"/>
        <w:szCs w:val="17"/>
      </w:rPr>
    </w:pPr>
    <w:r>
      <w:rPr>
        <w:rFonts w:ascii="Arial" w:hAnsi="Arial" w:cs="Arial"/>
        <w:color w:val="808080" w:themeColor="background1" w:themeShade="80"/>
        <w:sz w:val="17"/>
        <w:szCs w:val="17"/>
      </w:rPr>
      <w:t xml:space="preserve">     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>Holečkova 103/31, 150 00 Praha 5</w:t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 w:rsidR="007113E6">
      <w:rPr>
        <w:rFonts w:ascii="Arial" w:hAnsi="Arial" w:cs="Arial"/>
        <w:color w:val="808080" w:themeColor="background1" w:themeShade="80"/>
        <w:sz w:val="17"/>
        <w:szCs w:val="17"/>
      </w:rPr>
      <w:t>podatelna@unnr.cz</w:t>
    </w:r>
  </w:p>
  <w:p w14:paraId="580EDBD2" w14:textId="1D7A01A1" w:rsidR="00032D9B" w:rsidRPr="00A5131A" w:rsidRDefault="00A5131A" w:rsidP="00A5131A">
    <w:pPr>
      <w:spacing w:line="360" w:lineRule="auto"/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  <w:sz w:val="17"/>
        <w:szCs w:val="17"/>
      </w:rPr>
      <w:t xml:space="preserve">     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>www.</w:t>
    </w:r>
    <w:r w:rsidR="00287AD5">
      <w:rPr>
        <w:rFonts w:ascii="Arial" w:hAnsi="Arial" w:cs="Arial"/>
        <w:color w:val="808080" w:themeColor="background1" w:themeShade="80"/>
        <w:sz w:val="17"/>
        <w:szCs w:val="17"/>
      </w:rPr>
      <w:t>rozpoctovarada</w:t>
    </w:r>
    <w:r w:rsidR="00312ECB" w:rsidRPr="00312ECB">
      <w:rPr>
        <w:rFonts w:ascii="Arial" w:hAnsi="Arial" w:cs="Arial"/>
        <w:color w:val="808080" w:themeColor="background1" w:themeShade="80"/>
        <w:sz w:val="17"/>
        <w:szCs w:val="17"/>
      </w:rPr>
      <w:t>.c</w:t>
    </w:r>
    <w:r w:rsidR="00555CFB">
      <w:rPr>
        <w:rFonts w:ascii="Arial" w:hAnsi="Arial" w:cs="Arial"/>
        <w:color w:val="808080" w:themeColor="background1" w:themeShade="80"/>
        <w:sz w:val="17"/>
        <w:szCs w:val="17"/>
      </w:rPr>
      <w:t>z</w:t>
    </w:r>
    <w:r w:rsidR="0022724B"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>
      <w:rPr>
        <w:rFonts w:ascii="Arial" w:hAnsi="Arial" w:cs="Arial"/>
        <w:color w:val="808080" w:themeColor="background1" w:themeShade="80"/>
        <w:sz w:val="17"/>
        <w:szCs w:val="17"/>
      </w:rPr>
      <w:tab/>
    </w:r>
    <w:r w:rsidR="007113E6">
      <w:rPr>
        <w:rFonts w:ascii="Arial" w:hAnsi="Arial" w:cs="Arial"/>
        <w:color w:val="808080" w:themeColor="background1" w:themeShade="80"/>
        <w:sz w:val="17"/>
        <w:szCs w:val="17"/>
      </w:rPr>
      <w:t>ID datové schránky: mmu3ubg</w:t>
    </w:r>
    <w:r w:rsidR="00555CFB">
      <w:rPr>
        <w:rFonts w:ascii="Arial" w:hAnsi="Arial" w:cs="Arial"/>
        <w:color w:val="808080" w:themeColor="background1" w:themeShade="80"/>
        <w:sz w:val="17"/>
        <w:szCs w:val="17"/>
      </w:rPr>
      <w:tab/>
    </w:r>
    <w:r w:rsidR="0022724B">
      <w:rPr>
        <w:rFonts w:ascii="Arial" w:hAnsi="Arial" w:cs="Arial"/>
        <w:color w:val="808080" w:themeColor="background1" w:themeShade="80"/>
        <w:sz w:val="17"/>
        <w:szCs w:val="17"/>
      </w:rPr>
      <w:tab/>
    </w:r>
    <w:r w:rsidR="00555CFB">
      <w:rPr>
        <w:rFonts w:ascii="Arial" w:hAnsi="Arial" w:cs="Arial"/>
        <w:color w:val="808080" w:themeColor="background1" w:themeShade="80"/>
        <w:sz w:val="17"/>
        <w:szCs w:val="17"/>
      </w:rPr>
      <w:tab/>
    </w:r>
    <w:r w:rsidR="00555CFB">
      <w:rPr>
        <w:rFonts w:ascii="Arial" w:hAnsi="Arial" w:cs="Arial"/>
        <w:color w:val="808080" w:themeColor="background1" w:themeShade="80"/>
        <w:sz w:val="17"/>
        <w:szCs w:val="17"/>
      </w:rPr>
      <w:tab/>
    </w:r>
    <w:r w:rsidR="0022724B">
      <w:rPr>
        <w:rFonts w:ascii="Arial" w:hAnsi="Arial" w:cs="Arial"/>
        <w:color w:val="808080" w:themeColor="background1" w:themeShade="80"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29FC" w14:textId="77777777" w:rsidR="00C03A0C" w:rsidRDefault="00C03A0C" w:rsidP="006B2CBF">
      <w:pPr>
        <w:spacing w:after="0" w:line="240" w:lineRule="auto"/>
      </w:pPr>
      <w:r>
        <w:separator/>
      </w:r>
    </w:p>
  </w:footnote>
  <w:footnote w:type="continuationSeparator" w:id="0">
    <w:p w14:paraId="61314715" w14:textId="77777777" w:rsidR="00C03A0C" w:rsidRDefault="00C03A0C" w:rsidP="006B2CBF">
      <w:pPr>
        <w:spacing w:after="0" w:line="240" w:lineRule="auto"/>
      </w:pPr>
      <w:r>
        <w:continuationSeparator/>
      </w:r>
    </w:p>
  </w:footnote>
  <w:footnote w:type="continuationNotice" w:id="1">
    <w:p w14:paraId="7DC3E2A5" w14:textId="77777777" w:rsidR="00C03A0C" w:rsidRDefault="00C03A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4CAF" w14:textId="4A9771D0" w:rsidR="006B2CBF" w:rsidRDefault="009E2C51" w:rsidP="00D23312">
    <w:pPr>
      <w:pStyle w:val="Zhlav"/>
      <w:ind w:left="-567"/>
      <w:jc w:val="right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3F1174C8" wp14:editId="0504A250">
          <wp:simplePos x="0" y="0"/>
          <wp:positionH relativeFrom="page">
            <wp:posOffset>160020</wp:posOffset>
          </wp:positionH>
          <wp:positionV relativeFrom="paragraph">
            <wp:posOffset>-110490</wp:posOffset>
          </wp:positionV>
          <wp:extent cx="2278380" cy="1053595"/>
          <wp:effectExtent l="0" t="0" r="0" b="0"/>
          <wp:wrapNone/>
          <wp:docPr id="2066438795" name="Obrázek 2066438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RR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380" cy="105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B0B">
      <w:rPr>
        <w:rFonts w:ascii="Arial" w:hAnsi="Arial" w:cs="Arial"/>
        <w:sz w:val="18"/>
        <w:szCs w:val="18"/>
      </w:rPr>
      <w:t>Vyjádření NRR</w:t>
    </w:r>
    <w:r w:rsidR="00D23312">
      <w:rPr>
        <w:rFonts w:ascii="Arial" w:hAnsi="Arial" w:cs="Arial"/>
        <w:sz w:val="18"/>
        <w:szCs w:val="18"/>
      </w:rPr>
      <w:br/>
      <w:t xml:space="preserve">Praha, </w:t>
    </w:r>
    <w:r w:rsidR="00872B0B">
      <w:rPr>
        <w:rFonts w:ascii="Arial" w:hAnsi="Arial" w:cs="Arial"/>
        <w:sz w:val="18"/>
        <w:szCs w:val="18"/>
      </w:rPr>
      <w:t>11</w:t>
    </w:r>
    <w:r w:rsidR="00D23312">
      <w:rPr>
        <w:rFonts w:ascii="Arial" w:hAnsi="Arial" w:cs="Arial"/>
        <w:sz w:val="18"/>
        <w:szCs w:val="18"/>
      </w:rPr>
      <w:t xml:space="preserve">. </w:t>
    </w:r>
    <w:r w:rsidR="00872B0B">
      <w:rPr>
        <w:rFonts w:ascii="Arial" w:hAnsi="Arial" w:cs="Arial"/>
        <w:sz w:val="18"/>
        <w:szCs w:val="18"/>
      </w:rPr>
      <w:t>května</w:t>
    </w:r>
    <w:r w:rsidR="00D23312">
      <w:rPr>
        <w:rFonts w:ascii="Arial" w:hAnsi="Arial" w:cs="Arial"/>
        <w:sz w:val="18"/>
        <w:szCs w:val="18"/>
      </w:rPr>
      <w:t xml:space="preserve"> 20</w:t>
    </w:r>
    <w:r w:rsidR="00A7727C">
      <w:rPr>
        <w:rFonts w:ascii="Arial" w:hAnsi="Arial" w:cs="Arial"/>
        <w:sz w:val="18"/>
        <w:szCs w:val="18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BF"/>
    <w:rsid w:val="00024C9C"/>
    <w:rsid w:val="00024FF4"/>
    <w:rsid w:val="00027154"/>
    <w:rsid w:val="00032D9B"/>
    <w:rsid w:val="0004384F"/>
    <w:rsid w:val="00044148"/>
    <w:rsid w:val="00071459"/>
    <w:rsid w:val="00083557"/>
    <w:rsid w:val="000A506E"/>
    <w:rsid w:val="000C2123"/>
    <w:rsid w:val="000D0177"/>
    <w:rsid w:val="000D4728"/>
    <w:rsid w:val="000E558F"/>
    <w:rsid w:val="000F45D2"/>
    <w:rsid w:val="00114C5C"/>
    <w:rsid w:val="00131969"/>
    <w:rsid w:val="00131CDF"/>
    <w:rsid w:val="0014364B"/>
    <w:rsid w:val="00164FE0"/>
    <w:rsid w:val="001676C2"/>
    <w:rsid w:val="00185C89"/>
    <w:rsid w:val="001B3DF4"/>
    <w:rsid w:val="001C61C7"/>
    <w:rsid w:val="001E3C37"/>
    <w:rsid w:val="00206C59"/>
    <w:rsid w:val="0020748E"/>
    <w:rsid w:val="002164E2"/>
    <w:rsid w:val="00223822"/>
    <w:rsid w:val="0022724B"/>
    <w:rsid w:val="00227510"/>
    <w:rsid w:val="0025043C"/>
    <w:rsid w:val="00267F49"/>
    <w:rsid w:val="002772AF"/>
    <w:rsid w:val="00287AD5"/>
    <w:rsid w:val="002A1561"/>
    <w:rsid w:val="002F1040"/>
    <w:rsid w:val="0030684E"/>
    <w:rsid w:val="003111F9"/>
    <w:rsid w:val="003119C0"/>
    <w:rsid w:val="00312ECB"/>
    <w:rsid w:val="003305AB"/>
    <w:rsid w:val="00341845"/>
    <w:rsid w:val="00351AEC"/>
    <w:rsid w:val="0035764A"/>
    <w:rsid w:val="00376D24"/>
    <w:rsid w:val="00391FA6"/>
    <w:rsid w:val="003952ED"/>
    <w:rsid w:val="003B79FB"/>
    <w:rsid w:val="003C2872"/>
    <w:rsid w:val="003C3F17"/>
    <w:rsid w:val="003C7B26"/>
    <w:rsid w:val="003E3D72"/>
    <w:rsid w:val="004011B7"/>
    <w:rsid w:val="00402560"/>
    <w:rsid w:val="0043050E"/>
    <w:rsid w:val="0043294B"/>
    <w:rsid w:val="00436232"/>
    <w:rsid w:val="0044240F"/>
    <w:rsid w:val="00450A33"/>
    <w:rsid w:val="00460285"/>
    <w:rsid w:val="00463CC1"/>
    <w:rsid w:val="00483BB9"/>
    <w:rsid w:val="004B6C03"/>
    <w:rsid w:val="004F70C6"/>
    <w:rsid w:val="00521AEB"/>
    <w:rsid w:val="00527835"/>
    <w:rsid w:val="00535C0D"/>
    <w:rsid w:val="00536C49"/>
    <w:rsid w:val="0055588E"/>
    <w:rsid w:val="00555CFB"/>
    <w:rsid w:val="005655DA"/>
    <w:rsid w:val="00580F03"/>
    <w:rsid w:val="00587B69"/>
    <w:rsid w:val="00595D38"/>
    <w:rsid w:val="005A1149"/>
    <w:rsid w:val="005B3E86"/>
    <w:rsid w:val="005C1D2E"/>
    <w:rsid w:val="005E401F"/>
    <w:rsid w:val="005E4A76"/>
    <w:rsid w:val="0060532F"/>
    <w:rsid w:val="00625A38"/>
    <w:rsid w:val="00626AFA"/>
    <w:rsid w:val="0062756F"/>
    <w:rsid w:val="00641082"/>
    <w:rsid w:val="00650A87"/>
    <w:rsid w:val="0065492A"/>
    <w:rsid w:val="00664424"/>
    <w:rsid w:val="00685E83"/>
    <w:rsid w:val="00693C0F"/>
    <w:rsid w:val="006B2CBF"/>
    <w:rsid w:val="006B36CF"/>
    <w:rsid w:val="006C6A50"/>
    <w:rsid w:val="006E11FF"/>
    <w:rsid w:val="006E2C3D"/>
    <w:rsid w:val="006E65BF"/>
    <w:rsid w:val="006E6D4A"/>
    <w:rsid w:val="006F16F2"/>
    <w:rsid w:val="006F3D8E"/>
    <w:rsid w:val="006F44C8"/>
    <w:rsid w:val="00707D34"/>
    <w:rsid w:val="007113E6"/>
    <w:rsid w:val="007207CF"/>
    <w:rsid w:val="007212A1"/>
    <w:rsid w:val="0074641C"/>
    <w:rsid w:val="00752FC0"/>
    <w:rsid w:val="00773E27"/>
    <w:rsid w:val="007905B4"/>
    <w:rsid w:val="00795DBA"/>
    <w:rsid w:val="00796953"/>
    <w:rsid w:val="007B125F"/>
    <w:rsid w:val="007B704F"/>
    <w:rsid w:val="007C1389"/>
    <w:rsid w:val="007F7668"/>
    <w:rsid w:val="008231BD"/>
    <w:rsid w:val="00831D6C"/>
    <w:rsid w:val="008336F7"/>
    <w:rsid w:val="00845FF7"/>
    <w:rsid w:val="00862F6D"/>
    <w:rsid w:val="00872B0B"/>
    <w:rsid w:val="00877F43"/>
    <w:rsid w:val="00893099"/>
    <w:rsid w:val="00897235"/>
    <w:rsid w:val="0089759A"/>
    <w:rsid w:val="008B4BBC"/>
    <w:rsid w:val="008C19AD"/>
    <w:rsid w:val="008D1CC2"/>
    <w:rsid w:val="008F0697"/>
    <w:rsid w:val="00906939"/>
    <w:rsid w:val="00931C1A"/>
    <w:rsid w:val="0093220A"/>
    <w:rsid w:val="009477F3"/>
    <w:rsid w:val="0095088E"/>
    <w:rsid w:val="009949F7"/>
    <w:rsid w:val="0099673F"/>
    <w:rsid w:val="009A496E"/>
    <w:rsid w:val="009B645D"/>
    <w:rsid w:val="009C0F04"/>
    <w:rsid w:val="009E2C51"/>
    <w:rsid w:val="00A02E65"/>
    <w:rsid w:val="00A0655C"/>
    <w:rsid w:val="00A5131A"/>
    <w:rsid w:val="00A753FA"/>
    <w:rsid w:val="00A7727C"/>
    <w:rsid w:val="00A852E6"/>
    <w:rsid w:val="00A86FF4"/>
    <w:rsid w:val="00A905AF"/>
    <w:rsid w:val="00A91162"/>
    <w:rsid w:val="00AA1603"/>
    <w:rsid w:val="00AA655F"/>
    <w:rsid w:val="00AB7B85"/>
    <w:rsid w:val="00AC6447"/>
    <w:rsid w:val="00AD69D5"/>
    <w:rsid w:val="00AE3EA2"/>
    <w:rsid w:val="00B16111"/>
    <w:rsid w:val="00B17826"/>
    <w:rsid w:val="00B35498"/>
    <w:rsid w:val="00B40708"/>
    <w:rsid w:val="00B41316"/>
    <w:rsid w:val="00B419B9"/>
    <w:rsid w:val="00B564C3"/>
    <w:rsid w:val="00B626D7"/>
    <w:rsid w:val="00B65B94"/>
    <w:rsid w:val="00B72D07"/>
    <w:rsid w:val="00B74F0C"/>
    <w:rsid w:val="00B908B2"/>
    <w:rsid w:val="00B93CED"/>
    <w:rsid w:val="00B97F0A"/>
    <w:rsid w:val="00BA274A"/>
    <w:rsid w:val="00BB1287"/>
    <w:rsid w:val="00BD1316"/>
    <w:rsid w:val="00C03A0C"/>
    <w:rsid w:val="00C16583"/>
    <w:rsid w:val="00C24EDF"/>
    <w:rsid w:val="00C51FEC"/>
    <w:rsid w:val="00C70065"/>
    <w:rsid w:val="00C756A8"/>
    <w:rsid w:val="00C84C03"/>
    <w:rsid w:val="00CB46B2"/>
    <w:rsid w:val="00CC00D3"/>
    <w:rsid w:val="00CC257C"/>
    <w:rsid w:val="00CD1ADD"/>
    <w:rsid w:val="00CE2923"/>
    <w:rsid w:val="00CF1F99"/>
    <w:rsid w:val="00CF25AE"/>
    <w:rsid w:val="00CF3313"/>
    <w:rsid w:val="00CF76C0"/>
    <w:rsid w:val="00D00F48"/>
    <w:rsid w:val="00D1268B"/>
    <w:rsid w:val="00D23312"/>
    <w:rsid w:val="00D319A9"/>
    <w:rsid w:val="00D42D3B"/>
    <w:rsid w:val="00D64C5D"/>
    <w:rsid w:val="00D66D1C"/>
    <w:rsid w:val="00D736BD"/>
    <w:rsid w:val="00D808F3"/>
    <w:rsid w:val="00D83CAF"/>
    <w:rsid w:val="00D97968"/>
    <w:rsid w:val="00DB5EE9"/>
    <w:rsid w:val="00DC3163"/>
    <w:rsid w:val="00DF0E1A"/>
    <w:rsid w:val="00DF2AC7"/>
    <w:rsid w:val="00DF380F"/>
    <w:rsid w:val="00E03CE2"/>
    <w:rsid w:val="00E4683B"/>
    <w:rsid w:val="00E643CD"/>
    <w:rsid w:val="00E77B1B"/>
    <w:rsid w:val="00E82A28"/>
    <w:rsid w:val="00E95890"/>
    <w:rsid w:val="00EA63A0"/>
    <w:rsid w:val="00F17E93"/>
    <w:rsid w:val="00F36524"/>
    <w:rsid w:val="00F62361"/>
    <w:rsid w:val="00F66A7B"/>
    <w:rsid w:val="00F81313"/>
    <w:rsid w:val="00F876BA"/>
    <w:rsid w:val="00F87C5B"/>
    <w:rsid w:val="00F93D82"/>
    <w:rsid w:val="00FA0F1B"/>
    <w:rsid w:val="00FB120D"/>
    <w:rsid w:val="00FC69E5"/>
    <w:rsid w:val="00FD21C2"/>
    <w:rsid w:val="00FD2CC5"/>
    <w:rsid w:val="00FD70DF"/>
    <w:rsid w:val="00FE2AC5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5B76A"/>
  <w15:chartTrackingRefBased/>
  <w15:docId w15:val="{C6DF88F7-BD07-44F5-81A1-32244385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CBF"/>
  </w:style>
  <w:style w:type="paragraph" w:styleId="Zpat">
    <w:name w:val="footer"/>
    <w:basedOn w:val="Normln"/>
    <w:link w:val="ZpatChar"/>
    <w:uiPriority w:val="99"/>
    <w:unhideWhenUsed/>
    <w:rsid w:val="006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CBF"/>
  </w:style>
  <w:style w:type="paragraph" w:customStyle="1" w:styleId="Zkladnodstavec">
    <w:name w:val="[Základní odstavec]"/>
    <w:basedOn w:val="Normln"/>
    <w:uiPriority w:val="99"/>
    <w:rsid w:val="00032D9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55C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5CFB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460285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BntextCharCharCharChar">
    <w:name w:val="Běžný text Char Char Char Char"/>
    <w:basedOn w:val="Normln"/>
    <w:rsid w:val="00D97968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lang w:eastAsia="cs-CZ"/>
    </w:rPr>
  </w:style>
  <w:style w:type="paragraph" w:styleId="Revize">
    <w:name w:val="Revision"/>
    <w:hidden/>
    <w:uiPriority w:val="99"/>
    <w:semiHidden/>
    <w:rsid w:val="000835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nrr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d09f60-37ca-4bd5-8e74-fea7cc6b8b2a">
      <Terms xmlns="http://schemas.microsoft.com/office/infopath/2007/PartnerControls"/>
    </lcf76f155ced4ddcb4097134ff3c332f>
    <TaxCatchAll xmlns="54c68d60-7d63-4002-8e14-5143441963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6F96B3635EB47A61541A8B676E701" ma:contentTypeVersion="15" ma:contentTypeDescription="Vytvoří nový dokument" ma:contentTypeScope="" ma:versionID="169273b37c202d58a74fbf1aef688359">
  <xsd:schema xmlns:xsd="http://www.w3.org/2001/XMLSchema" xmlns:xs="http://www.w3.org/2001/XMLSchema" xmlns:p="http://schemas.microsoft.com/office/2006/metadata/properties" xmlns:ns2="03d09f60-37ca-4bd5-8e74-fea7cc6b8b2a" xmlns:ns3="54c68d60-7d63-4002-8e14-5143441963c5" targetNamespace="http://schemas.microsoft.com/office/2006/metadata/properties" ma:root="true" ma:fieldsID="815a40e9a6bcd89e07f72754b00d7929" ns2:_="" ns3:_="">
    <xsd:import namespace="03d09f60-37ca-4bd5-8e74-fea7cc6b8b2a"/>
    <xsd:import namespace="54c68d60-7d63-4002-8e14-514344196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9f60-37ca-4bd5-8e74-fea7cc6b8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44bc8ca8-2ac0-42bc-83ca-496132f894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68d60-7d63-4002-8e14-514344196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c55ddc-0624-46ab-8401-1a097ea410e3}" ma:internalName="TaxCatchAll" ma:showField="CatchAllData" ma:web="54c68d60-7d63-4002-8e14-514344196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09E09-5AA9-4326-9062-9937B280F824}">
  <ds:schemaRefs>
    <ds:schemaRef ds:uri="http://schemas.microsoft.com/office/2006/metadata/properties"/>
    <ds:schemaRef ds:uri="http://schemas.microsoft.com/office/infopath/2007/PartnerControls"/>
    <ds:schemaRef ds:uri="03d09f60-37ca-4bd5-8e74-fea7cc6b8b2a"/>
    <ds:schemaRef ds:uri="54c68d60-7d63-4002-8e14-5143441963c5"/>
  </ds:schemaRefs>
</ds:datastoreItem>
</file>

<file path=customXml/itemProps2.xml><?xml version="1.0" encoding="utf-8"?>
<ds:datastoreItem xmlns:ds="http://schemas.openxmlformats.org/officeDocument/2006/customXml" ds:itemID="{77E8B6F7-D39B-4C2F-9332-404FD306C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09f60-37ca-4bd5-8e74-fea7cc6b8b2a"/>
    <ds:schemaRef ds:uri="54c68d60-7d63-4002-8e14-514344196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0143F7-5C9F-4BEB-9EBF-79C87C7EF5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Petrásková</dc:creator>
  <cp:keywords/>
  <dc:description/>
  <cp:lastModifiedBy>Monika Petrásková</cp:lastModifiedBy>
  <cp:revision>8</cp:revision>
  <cp:lastPrinted>2021-12-14T05:00:00Z</cp:lastPrinted>
  <dcterms:created xsi:type="dcterms:W3CDTF">2023-05-11T14:16:00Z</dcterms:created>
  <dcterms:modified xsi:type="dcterms:W3CDTF">2023-05-11T14:24:00Z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0x01010014F6F96B3635EB47A61541A8B676E701</vt:lpwstr>
  </property>
  <property fmtid="{D5CDD505-2E9C-101B-9397-08002B2CF9AE}" pid="3" name="MediaServiceImageTags">
    <vt:lpwstr/>
  </property>
</Properties>
</file>