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739A" w14:textId="77777777" w:rsidR="00A5131A" w:rsidRDefault="00A5131A" w:rsidP="00BA274A">
      <w:pPr>
        <w:pStyle w:val="Zkladnodstavec"/>
        <w:tabs>
          <w:tab w:val="left" w:pos="6804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2F1D3E7B" w14:textId="219FAE3A" w:rsidR="00BA274A" w:rsidRDefault="00FB120D" w:rsidP="00BA274A">
      <w:pPr>
        <w:pStyle w:val="Zkladnodstavec"/>
        <w:tabs>
          <w:tab w:val="left" w:pos="6804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C37F86">
        <w:rPr>
          <w:rFonts w:ascii="Arial" w:hAnsi="Arial" w:cs="Arial"/>
          <w:sz w:val="18"/>
          <w:szCs w:val="18"/>
        </w:rPr>
        <w:tab/>
      </w:r>
      <w:r w:rsidR="00C37F86">
        <w:rPr>
          <w:rFonts w:ascii="Arial" w:hAnsi="Arial" w:cs="Arial"/>
          <w:sz w:val="18"/>
          <w:szCs w:val="18"/>
        </w:rPr>
        <w:tab/>
      </w:r>
      <w:r w:rsidR="00C37F86">
        <w:rPr>
          <w:rFonts w:ascii="Arial" w:hAnsi="Arial" w:cs="Arial"/>
          <w:sz w:val="18"/>
          <w:szCs w:val="18"/>
        </w:rPr>
        <w:tab/>
        <w:t>Tisková zpráva</w:t>
      </w:r>
    </w:p>
    <w:p w14:paraId="458BF309" w14:textId="32FC0D4D" w:rsidR="00C37F86" w:rsidRDefault="00C37F86" w:rsidP="00C37F86">
      <w:pPr>
        <w:pStyle w:val="Zkladnodstavec"/>
        <w:tabs>
          <w:tab w:val="left" w:pos="6804"/>
        </w:tabs>
        <w:spacing w:line="276" w:lineRule="auto"/>
        <w:ind w:right="423"/>
        <w:rPr>
          <w:rFonts w:ascii="Arial" w:hAnsi="Arial" w:cs="Arial"/>
          <w:sz w:val="18"/>
          <w:szCs w:val="18"/>
        </w:rPr>
        <w:sectPr w:rsidR="00C37F86" w:rsidSect="00C37F86">
          <w:headerReference w:type="default" r:id="rId9"/>
          <w:footerReference w:type="default" r:id="rId10"/>
          <w:pgSz w:w="11906" w:h="16838"/>
          <w:pgMar w:top="851" w:right="851" w:bottom="567" w:left="851" w:header="426" w:footer="312" w:gutter="0"/>
          <w:cols w:space="708"/>
          <w:docGrid w:linePitch="360"/>
        </w:sect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Praha, 2</w:t>
      </w:r>
      <w:r w:rsidR="003E07B6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. června 202</w:t>
      </w:r>
      <w:r w:rsidR="003E07B6">
        <w:rPr>
          <w:rFonts w:ascii="Arial" w:hAnsi="Arial" w:cs="Arial"/>
          <w:sz w:val="18"/>
          <w:szCs w:val="18"/>
        </w:rPr>
        <w:t>1</w:t>
      </w:r>
    </w:p>
    <w:p w14:paraId="0180CFDB" w14:textId="5B8983A3" w:rsidR="00BA274A" w:rsidRDefault="00BA274A" w:rsidP="00C37F86">
      <w:pPr>
        <w:pStyle w:val="Zkladnodstavec"/>
        <w:tabs>
          <w:tab w:val="left" w:pos="6804"/>
        </w:tabs>
        <w:spacing w:line="276" w:lineRule="auto"/>
        <w:ind w:right="423"/>
        <w:rPr>
          <w:rFonts w:ascii="Arial" w:hAnsi="Arial" w:cs="Arial"/>
          <w:sz w:val="18"/>
          <w:szCs w:val="18"/>
        </w:rPr>
      </w:pPr>
    </w:p>
    <w:p w14:paraId="2D7DE804" w14:textId="2BCB6803" w:rsidR="00FB120D" w:rsidRPr="00C37F86" w:rsidRDefault="0035764A" w:rsidP="00C37F86">
      <w:pPr>
        <w:pStyle w:val="Zkladnodstavec"/>
        <w:tabs>
          <w:tab w:val="left" w:pos="6804"/>
        </w:tabs>
        <w:spacing w:line="276" w:lineRule="auto"/>
        <w:rPr>
          <w:rFonts w:asciiTheme="minorHAnsi" w:hAnsiTheme="minorHAnsi" w:cstheme="minorHAnsi"/>
          <w:sz w:val="40"/>
          <w:szCs w:val="40"/>
        </w:rPr>
      </w:pPr>
      <w:r>
        <w:rPr>
          <w:rFonts w:ascii="Arial" w:hAnsi="Arial" w:cs="Arial"/>
          <w:sz w:val="18"/>
          <w:szCs w:val="18"/>
        </w:rPr>
        <w:tab/>
      </w:r>
    </w:p>
    <w:p w14:paraId="58BAFC74" w14:textId="77777777" w:rsidR="00C37F86" w:rsidRDefault="00C37F86" w:rsidP="00C37F86">
      <w:pPr>
        <w:pStyle w:val="Zkladnodstavec"/>
        <w:tabs>
          <w:tab w:val="left" w:pos="6804"/>
        </w:tabs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561FE60" w14:textId="07CE7F5B" w:rsidR="00C37F86" w:rsidRPr="00C37F86" w:rsidRDefault="00877CAD" w:rsidP="00C37F86">
      <w:pPr>
        <w:pStyle w:val="Zkladnodstavec"/>
        <w:tabs>
          <w:tab w:val="left" w:pos="6804"/>
        </w:tabs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Tlak na české veřejné finance </w:t>
      </w:r>
      <w:r w:rsidR="0021721C">
        <w:rPr>
          <w:rFonts w:asciiTheme="minorHAnsi" w:hAnsiTheme="minorHAnsi" w:cstheme="minorHAnsi"/>
          <w:b/>
          <w:bCs/>
          <w:sz w:val="28"/>
          <w:szCs w:val="28"/>
        </w:rPr>
        <w:t>se stupňuje</w:t>
      </w:r>
      <w:r>
        <w:rPr>
          <w:rFonts w:asciiTheme="minorHAnsi" w:hAnsiTheme="minorHAnsi" w:cstheme="minorHAnsi"/>
          <w:b/>
          <w:bCs/>
          <w:sz w:val="28"/>
          <w:szCs w:val="28"/>
        </w:rPr>
        <w:t>. Za jediný rok se náraz na dluhovou brzdu přiblížil o téměř dvě dekády</w:t>
      </w:r>
    </w:p>
    <w:p w14:paraId="1409F4F8" w14:textId="77777777" w:rsidR="00C37F86" w:rsidRDefault="00C37F86" w:rsidP="00C37F86"/>
    <w:p w14:paraId="343B2352" w14:textId="44D5A3EE" w:rsidR="00EF73FB" w:rsidRDefault="006A34A1" w:rsidP="00EF73FB">
      <w:pPr>
        <w:rPr>
          <w:rFonts w:ascii="Arial" w:hAnsi="Arial" w:cs="Arial"/>
        </w:rPr>
      </w:pPr>
      <w:r>
        <w:rPr>
          <w:rFonts w:ascii="Arial" w:hAnsi="Arial" w:cs="Arial"/>
        </w:rPr>
        <w:t>Pokud nedojde ke změně v plánované fiskální politice, prolomí Česko takzvanou dluhovou brzdu</w:t>
      </w:r>
      <w:r w:rsidR="00EF73FB">
        <w:rPr>
          <w:rFonts w:ascii="Arial" w:hAnsi="Arial" w:cs="Arial"/>
        </w:rPr>
        <w:t xml:space="preserve"> už za tři roky</w:t>
      </w:r>
      <w:r>
        <w:rPr>
          <w:rFonts w:ascii="Arial" w:hAnsi="Arial" w:cs="Arial"/>
        </w:rPr>
        <w:t>.</w:t>
      </w:r>
      <w:r w:rsidR="00EF73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Ukázala to nová Zpráva o dlouhodobé udržitelnosti veřejných financí, kterou každoročně zpracovává Národní rozpočtová rada. </w:t>
      </w:r>
      <w:r w:rsidR="00EF73FB">
        <w:rPr>
          <w:rFonts w:ascii="Arial" w:hAnsi="Arial" w:cs="Arial"/>
        </w:rPr>
        <w:t>Ještě loni přitom projekce Rady ukazovaly, že zadlužení na úrovni dluhové brzdy (55 % HDP) by mohlo Česko dosáhnout až v roce 2043</w:t>
      </w:r>
      <w:r w:rsidR="006B3338">
        <w:rPr>
          <w:rFonts w:ascii="Arial" w:hAnsi="Arial" w:cs="Arial"/>
        </w:rPr>
        <w:t>.</w:t>
      </w:r>
      <w:r w:rsidR="00EF73FB">
        <w:rPr>
          <w:rFonts w:ascii="Arial" w:hAnsi="Arial" w:cs="Arial"/>
        </w:rPr>
        <w:t xml:space="preserve"> „Jediný nepříznivý rok stačil na to, aby se náraz na dluhovou brzdu přiblížil o téměř dvě dekády. Veřejné finance se dostaly pod obrovský tlak kvůli koronavirové pandemii, nicméně fiskální politika během krizového období</w:t>
      </w:r>
      <w:r w:rsidR="006B3338">
        <w:rPr>
          <w:rFonts w:ascii="Arial" w:hAnsi="Arial" w:cs="Arial"/>
        </w:rPr>
        <w:t xml:space="preserve"> bohužel </w:t>
      </w:r>
      <w:r w:rsidR="00EF73FB">
        <w:rPr>
          <w:rFonts w:ascii="Arial" w:hAnsi="Arial" w:cs="Arial"/>
        </w:rPr>
        <w:t xml:space="preserve">obsahovala i </w:t>
      </w:r>
      <w:r w:rsidR="006B3338">
        <w:rPr>
          <w:rFonts w:ascii="Arial" w:hAnsi="Arial" w:cs="Arial"/>
        </w:rPr>
        <w:t xml:space="preserve">nákladná </w:t>
      </w:r>
      <w:r w:rsidR="00EF73FB">
        <w:rPr>
          <w:rFonts w:ascii="Arial" w:hAnsi="Arial" w:cs="Arial"/>
        </w:rPr>
        <w:t xml:space="preserve">opatření, jež s pandemií nesouvisela,“ uvedla </w:t>
      </w:r>
      <w:r w:rsidR="00EF73FB">
        <w:rPr>
          <w:rFonts w:ascii="Arial" w:hAnsi="Arial" w:cs="Arial"/>
          <w:b/>
          <w:bCs/>
        </w:rPr>
        <w:t xml:space="preserve">předsedkyně Národní rozpočtové rady Eva Zamrazilová. </w:t>
      </w:r>
      <w:r w:rsidR="00EF73FB">
        <w:rPr>
          <w:rFonts w:ascii="Arial" w:hAnsi="Arial" w:cs="Arial"/>
        </w:rPr>
        <w:t>Jako příklad jmenovala významné snížení zdanění příjmů fyzických osob</w:t>
      </w:r>
      <w:r w:rsidR="006B3338">
        <w:rPr>
          <w:rFonts w:ascii="Arial" w:hAnsi="Arial" w:cs="Arial"/>
        </w:rPr>
        <w:t xml:space="preserve"> nebo navyšování důchodů nad rámec zákonného valorizačního schématu.</w:t>
      </w:r>
    </w:p>
    <w:p w14:paraId="100EB63B" w14:textId="29EA6DA8" w:rsidR="006B3338" w:rsidRDefault="006B3338" w:rsidP="00EF73FB">
      <w:pPr>
        <w:rPr>
          <w:rFonts w:ascii="Arial" w:hAnsi="Arial" w:cs="Arial"/>
        </w:rPr>
      </w:pPr>
      <w:r>
        <w:rPr>
          <w:rFonts w:ascii="Arial" w:hAnsi="Arial" w:cs="Arial"/>
        </w:rPr>
        <w:t>V případě, že by český dluh skutečně dosáhl úrovně dluhové brzdy, musela by být podle zákona přijata opatření, jež by zajistila dlouhodobou udržitelnost veřejných financí. „Jednalo by se o zásadní kroky nejen na úrovni</w:t>
      </w:r>
      <w:r w:rsidR="007D7896">
        <w:rPr>
          <w:rFonts w:ascii="Arial" w:hAnsi="Arial" w:cs="Arial"/>
        </w:rPr>
        <w:t xml:space="preserve"> příjmů a výdajů</w:t>
      </w:r>
      <w:r>
        <w:rPr>
          <w:rFonts w:ascii="Arial" w:hAnsi="Arial" w:cs="Arial"/>
        </w:rPr>
        <w:t xml:space="preserve"> centrálního rozpočtu, ale významné škrty by se nevyhnuly ani krajům, obcím či zdravotním pojišťovnám,“ popisuje Zamrazilová</w:t>
      </w:r>
      <w:r w:rsidR="008E44A2">
        <w:rPr>
          <w:rFonts w:ascii="Arial" w:hAnsi="Arial" w:cs="Arial"/>
        </w:rPr>
        <w:t xml:space="preserve"> a dodává, že</w:t>
      </w:r>
      <w:r>
        <w:rPr>
          <w:rFonts w:ascii="Arial" w:hAnsi="Arial" w:cs="Arial"/>
        </w:rPr>
        <w:t xml:space="preserve"> případné zvýšení daňové zátěže či </w:t>
      </w:r>
      <w:r w:rsidR="008E44A2">
        <w:rPr>
          <w:rFonts w:ascii="Arial" w:hAnsi="Arial" w:cs="Arial"/>
        </w:rPr>
        <w:t>vynucené omezování investičních a provozních výdajů by pocítil každý občan České republiky.</w:t>
      </w:r>
    </w:p>
    <w:p w14:paraId="2175A195" w14:textId="0652F002" w:rsidR="008E44A2" w:rsidRDefault="008E44A2" w:rsidP="00EF73FB">
      <w:pPr>
        <w:rPr>
          <w:rFonts w:ascii="Arial" w:hAnsi="Arial" w:cs="Arial"/>
        </w:rPr>
      </w:pPr>
      <w:r>
        <w:rPr>
          <w:rFonts w:ascii="Arial" w:hAnsi="Arial" w:cs="Arial"/>
        </w:rPr>
        <w:t>Pro ilustraci rozsahu problémů, kterým české veřejné finance nyní čelí, obsahuje Zpráva také projekci vývoje dluhu v horizontu 50 let. Ta ukazuje, že za předpokladu zachování stávajících příjmových a výdajových politik by dluh sektoru veřejných institucí dosáhl 334 % HDP</w:t>
      </w:r>
      <w:r w:rsidR="00B5061F">
        <w:rPr>
          <w:rFonts w:ascii="Arial" w:hAnsi="Arial" w:cs="Arial"/>
        </w:rPr>
        <w:t>.</w:t>
      </w:r>
    </w:p>
    <w:p w14:paraId="7BD7E08D" w14:textId="58A1F69E" w:rsidR="00FE10CE" w:rsidRPr="00D7777B" w:rsidRDefault="00D7777B" w:rsidP="00EF73FB">
      <w:pPr>
        <w:rPr>
          <w:rFonts w:ascii="Arial" w:hAnsi="Arial" w:cs="Arial"/>
          <w:b/>
          <w:bCs/>
          <w:i/>
          <w:iCs/>
        </w:rPr>
      </w:pPr>
      <w:r w:rsidRPr="00D7777B">
        <w:rPr>
          <w:rFonts w:ascii="Arial" w:hAnsi="Arial" w:cs="Arial"/>
          <w:b/>
          <w:bCs/>
        </w:rPr>
        <w:t>Klíčovým problémem zůstává stárnutí populace</w:t>
      </w:r>
      <w:r>
        <w:rPr>
          <w:rFonts w:ascii="Arial" w:hAnsi="Arial" w:cs="Arial"/>
          <w:b/>
          <w:bCs/>
          <w:i/>
          <w:iCs/>
        </w:rPr>
        <w:br/>
      </w:r>
      <w:r w:rsidR="008E44A2">
        <w:rPr>
          <w:rFonts w:ascii="Arial" w:hAnsi="Arial" w:cs="Arial"/>
        </w:rPr>
        <w:t xml:space="preserve">Navzdory dopadům pandemie je </w:t>
      </w:r>
      <w:r w:rsidR="00FE10CE">
        <w:rPr>
          <w:rFonts w:ascii="Arial" w:hAnsi="Arial" w:cs="Arial"/>
        </w:rPr>
        <w:t xml:space="preserve">však </w:t>
      </w:r>
      <w:r w:rsidR="008E44A2">
        <w:rPr>
          <w:rFonts w:ascii="Arial" w:hAnsi="Arial" w:cs="Arial"/>
        </w:rPr>
        <w:t>stejně jako v minulých Zprávách i tentokrát společným jmenovatelem budoucích problémů českých veřejných financí stárnutí populace.</w:t>
      </w:r>
      <w:r w:rsidR="00FE10CE">
        <w:rPr>
          <w:rFonts w:ascii="Arial" w:hAnsi="Arial" w:cs="Arial"/>
        </w:rPr>
        <w:t xml:space="preserve"> Během pandemie se prakticky zastavily aktivity spojené s důchodovou reformou, a tak </w:t>
      </w:r>
      <w:r w:rsidR="007D7896">
        <w:rPr>
          <w:rFonts w:ascii="Arial" w:hAnsi="Arial" w:cs="Arial"/>
        </w:rPr>
        <w:t>m</w:t>
      </w:r>
      <w:r w:rsidR="00FE10CE">
        <w:rPr>
          <w:rFonts w:ascii="Arial" w:hAnsi="Arial" w:cs="Arial"/>
        </w:rPr>
        <w:t>inisterstvo práce a sociálních věcí před</w:t>
      </w:r>
      <w:r w:rsidR="007D7896">
        <w:rPr>
          <w:rFonts w:ascii="Arial" w:hAnsi="Arial" w:cs="Arial"/>
        </w:rPr>
        <w:t>alo</w:t>
      </w:r>
      <w:r w:rsidR="00FE10CE">
        <w:rPr>
          <w:rFonts w:ascii="Arial" w:hAnsi="Arial" w:cs="Arial"/>
        </w:rPr>
        <w:t xml:space="preserve"> vládě návrh zákona o reformě důchodového systému až letos v květnu. Realizace návrhu v </w:t>
      </w:r>
      <w:r w:rsidR="007D7896">
        <w:rPr>
          <w:rFonts w:ascii="Arial" w:hAnsi="Arial" w:cs="Arial"/>
        </w:rPr>
        <w:t>předložené</w:t>
      </w:r>
      <w:r w:rsidR="00FE10CE">
        <w:rPr>
          <w:rFonts w:ascii="Arial" w:hAnsi="Arial" w:cs="Arial"/>
        </w:rPr>
        <w:t xml:space="preserve"> podobě by navíc problém dlouhodobé neudržitelnosti veřejných financí ještě prohloubila.</w:t>
      </w:r>
    </w:p>
    <w:p w14:paraId="27E77BB4" w14:textId="1A4A19DF" w:rsidR="008E44A2" w:rsidRDefault="007D7896" w:rsidP="00EF73FB">
      <w:pPr>
        <w:rPr>
          <w:rFonts w:ascii="Arial" w:hAnsi="Arial" w:cs="Arial"/>
        </w:rPr>
      </w:pPr>
      <w:r>
        <w:rPr>
          <w:rFonts w:ascii="Arial" w:hAnsi="Arial" w:cs="Arial"/>
        </w:rPr>
        <w:t>Zpráva o dlouhodobé udržitelnosti veřejných financí ukazuje, že p</w:t>
      </w:r>
      <w:r w:rsidR="008E44A2">
        <w:rPr>
          <w:rFonts w:ascii="Arial" w:hAnsi="Arial" w:cs="Arial"/>
        </w:rPr>
        <w:t>okud se</w:t>
      </w:r>
      <w:r w:rsidR="00FE10CE">
        <w:rPr>
          <w:rFonts w:ascii="Arial" w:hAnsi="Arial" w:cs="Arial"/>
        </w:rPr>
        <w:t xml:space="preserve"> </w:t>
      </w:r>
      <w:r w:rsidR="008E44A2">
        <w:rPr>
          <w:rFonts w:ascii="Arial" w:hAnsi="Arial" w:cs="Arial"/>
        </w:rPr>
        <w:t>nic zásadního nezmění, naroste podíl výdajů na starobní důchody v příštích 40 letech ze stávajících 7,7 % HDP na 12,3 % HDP. Zatímco dnes připad</w:t>
      </w:r>
      <w:r w:rsidR="00FE10CE">
        <w:rPr>
          <w:rFonts w:ascii="Arial" w:hAnsi="Arial" w:cs="Arial"/>
        </w:rPr>
        <w:t>ají</w:t>
      </w:r>
      <w:r w:rsidR="008E44A2">
        <w:rPr>
          <w:rFonts w:ascii="Arial" w:hAnsi="Arial" w:cs="Arial"/>
        </w:rPr>
        <w:t xml:space="preserve"> na každého občana staršího 65 let</w:t>
      </w:r>
      <w:r w:rsidR="00FE10CE">
        <w:rPr>
          <w:rFonts w:ascii="Arial" w:hAnsi="Arial" w:cs="Arial"/>
        </w:rPr>
        <w:t xml:space="preserve"> bezmála tři lidé v produktivním věku, během příštích čtyř dekád tento podíl klesne na 1,6.</w:t>
      </w:r>
      <w:r>
        <w:rPr>
          <w:rFonts w:ascii="Arial" w:hAnsi="Arial" w:cs="Arial"/>
        </w:rPr>
        <w:t xml:space="preserve"> Alternativní scénáře navíc ukazují, že problém dlouhodobé neudržitelnosti veřejných financí nevyřeší ani zahrnutí případných mimořádně pozitivních dopadů digitalizace a robotizace ani případný příznivější demografický vývoj. Navázání důchodového věku na očekávanou dobu dožití, tak aby každý občan strávil v důchodu v průměru čtvrtinu života, by dlouhodobou udržitelnost </w:t>
      </w:r>
      <w:r w:rsidR="00054A78">
        <w:rPr>
          <w:rFonts w:ascii="Arial" w:hAnsi="Arial" w:cs="Arial"/>
        </w:rPr>
        <w:t xml:space="preserve">penzijního systému </w:t>
      </w:r>
      <w:r>
        <w:rPr>
          <w:rFonts w:ascii="Arial" w:hAnsi="Arial" w:cs="Arial"/>
        </w:rPr>
        <w:t>výrazně zlepšilo, byť by tento problém nevyřešilo zcela.</w:t>
      </w:r>
    </w:p>
    <w:p w14:paraId="2B37B5BA" w14:textId="35C714F1" w:rsidR="007D7896" w:rsidRPr="00D7777B" w:rsidRDefault="00D7777B" w:rsidP="003E07B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Česku chybí ozdravný plán</w:t>
      </w:r>
      <w:r>
        <w:rPr>
          <w:rFonts w:ascii="Arial" w:hAnsi="Arial" w:cs="Arial"/>
          <w:b/>
          <w:bCs/>
        </w:rPr>
        <w:br/>
      </w:r>
      <w:r w:rsidR="00FE10CE">
        <w:rPr>
          <w:rFonts w:ascii="Arial" w:hAnsi="Arial" w:cs="Arial"/>
        </w:rPr>
        <w:t xml:space="preserve">Úlevu veřejným financím by </w:t>
      </w:r>
      <w:r w:rsidR="007D7896">
        <w:rPr>
          <w:rFonts w:ascii="Arial" w:hAnsi="Arial" w:cs="Arial"/>
        </w:rPr>
        <w:t xml:space="preserve">tak </w:t>
      </w:r>
      <w:r w:rsidR="00FE10CE">
        <w:rPr>
          <w:rFonts w:ascii="Arial" w:hAnsi="Arial" w:cs="Arial"/>
        </w:rPr>
        <w:t xml:space="preserve">ve střednědobém horizontu mohl přinést </w:t>
      </w:r>
      <w:r w:rsidR="007D7896">
        <w:rPr>
          <w:rFonts w:ascii="Arial" w:hAnsi="Arial" w:cs="Arial"/>
        </w:rPr>
        <w:t xml:space="preserve">zejména </w:t>
      </w:r>
      <w:r w:rsidR="00FE10CE">
        <w:rPr>
          <w:rFonts w:ascii="Arial" w:hAnsi="Arial" w:cs="Arial"/>
        </w:rPr>
        <w:t xml:space="preserve">důvěryhodný ozdravný plán veřejných financí, který by měl zahrnovat především revizi daňového mixu, racionalizaci výdajových politik či zefektivnění fungování veřejné správy. </w:t>
      </w:r>
      <w:r w:rsidR="007D7896">
        <w:rPr>
          <w:rFonts w:ascii="Arial" w:hAnsi="Arial" w:cs="Arial"/>
        </w:rPr>
        <w:t>Ozdravná konsolidační strategie pro postpandemické období však Česku stále chybí. „S návratem schodku na předcovidové</w:t>
      </w:r>
      <w:r w:rsidR="00A037BD">
        <w:rPr>
          <w:rFonts w:ascii="Arial" w:hAnsi="Arial" w:cs="Arial"/>
        </w:rPr>
        <w:t xml:space="preserve"> </w:t>
      </w:r>
      <w:r w:rsidR="007D7896">
        <w:rPr>
          <w:rFonts w:ascii="Arial" w:hAnsi="Arial" w:cs="Arial"/>
        </w:rPr>
        <w:t xml:space="preserve">úrovně se nyní počítá až pro rok 2031, a také v mezinárodním kontextu se nárůst českého zadlužení v období </w:t>
      </w:r>
      <w:r w:rsidR="007D7896">
        <w:rPr>
          <w:rFonts w:ascii="Arial" w:hAnsi="Arial" w:cs="Arial"/>
        </w:rPr>
        <w:lastRenderedPageBreak/>
        <w:t>pandemie zcela vymyká očekávanému vývoji. Jarní výhled Mezinárodního měnového fondu dokonce Česko označuje za zemi s druhým nejvyšším očekávaným růstem zadlužení v rámci EU,“ připomíná Zamrazilová.</w:t>
      </w:r>
    </w:p>
    <w:p w14:paraId="27DF9FE1" w14:textId="7A0C7A84" w:rsidR="006A34A1" w:rsidRDefault="00FE10CE" w:rsidP="003E07B6">
      <w:pPr>
        <w:rPr>
          <w:rFonts w:ascii="Arial" w:hAnsi="Arial" w:cs="Arial"/>
        </w:rPr>
      </w:pPr>
      <w:r>
        <w:rPr>
          <w:rFonts w:ascii="Arial" w:hAnsi="Arial" w:cs="Arial"/>
        </w:rPr>
        <w:t>Z dlouhodobého hlediska by pak měla být</w:t>
      </w:r>
      <w:r w:rsidR="007D7896">
        <w:rPr>
          <w:rFonts w:ascii="Arial" w:hAnsi="Arial" w:cs="Arial"/>
        </w:rPr>
        <w:t xml:space="preserve"> podle Zprávy</w:t>
      </w:r>
      <w:r>
        <w:rPr>
          <w:rFonts w:ascii="Arial" w:hAnsi="Arial" w:cs="Arial"/>
        </w:rPr>
        <w:t xml:space="preserve"> prioritou udržitelná úprava důchodového systému, která by měla brát v úvahu vedle finanční stability systému i aspekty mezigenerační spravedlnosti. Analýza mezigeneračních účtů totiž ukazuje, že největší zátěž neustálého odkládání udržitelné důchodové reformy ponesou generace narozené především v tomto tisíciletí.</w:t>
      </w:r>
      <w:r w:rsidR="007D7896">
        <w:rPr>
          <w:rFonts w:ascii="Arial" w:hAnsi="Arial" w:cs="Arial"/>
        </w:rPr>
        <w:t xml:space="preserve"> „Čím později se ke změnám v systému veřejných financí přistoupí, tím budou bolestivější a dražší,“ </w:t>
      </w:r>
      <w:r w:rsidR="00D7777B">
        <w:rPr>
          <w:rFonts w:ascii="Arial" w:hAnsi="Arial" w:cs="Arial"/>
        </w:rPr>
        <w:t>uzavírá předsedkyně Národní rozpočtové rady.</w:t>
      </w:r>
    </w:p>
    <w:p w14:paraId="316C86B7" w14:textId="5CEF80A1" w:rsidR="0035764A" w:rsidRDefault="0035764A" w:rsidP="005B3E86">
      <w:pPr>
        <w:tabs>
          <w:tab w:val="left" w:pos="851"/>
          <w:tab w:val="left" w:pos="6804"/>
        </w:tabs>
        <w:spacing w:line="276" w:lineRule="auto"/>
        <w:rPr>
          <w:rFonts w:ascii="Arial" w:hAnsi="Arial" w:cs="Arial"/>
        </w:rPr>
      </w:pPr>
    </w:p>
    <w:p w14:paraId="431DA16A" w14:textId="77777777" w:rsidR="00C37F86" w:rsidRPr="00C37F86" w:rsidRDefault="00C37F86" w:rsidP="00C37F86">
      <w:pPr>
        <w:rPr>
          <w:rFonts w:ascii="Arial" w:hAnsi="Arial" w:cs="Arial"/>
          <w:b/>
          <w:sz w:val="18"/>
          <w:szCs w:val="18"/>
        </w:rPr>
      </w:pPr>
      <w:r w:rsidRPr="00C37F86">
        <w:rPr>
          <w:rFonts w:ascii="Arial" w:hAnsi="Arial" w:cs="Arial"/>
          <w:b/>
          <w:sz w:val="18"/>
          <w:szCs w:val="18"/>
        </w:rPr>
        <w:t>O Národní rozpočtové radě</w:t>
      </w:r>
      <w:r w:rsidRPr="00C37F86">
        <w:rPr>
          <w:rFonts w:ascii="Arial" w:hAnsi="Arial" w:cs="Arial"/>
          <w:b/>
          <w:sz w:val="18"/>
          <w:szCs w:val="18"/>
        </w:rPr>
        <w:br/>
      </w:r>
      <w:r w:rsidRPr="00C37F86">
        <w:rPr>
          <w:rFonts w:ascii="Arial" w:hAnsi="Arial" w:cs="Arial"/>
          <w:sz w:val="18"/>
          <w:szCs w:val="18"/>
        </w:rPr>
        <w:t xml:space="preserve">Národní rozpočtová rada je nezávislý odborný orgán, jehož hlavním posláním je vyhodnocovat, zda stát a další veřejné instituce dodržují pravidla rozpočtové odpovědnosti daná </w:t>
      </w:r>
      <w:hyperlink r:id="rId11" w:tgtFrame="_blank" w:history="1">
        <w:r w:rsidRPr="00C37F86">
          <w:rPr>
            <w:rFonts w:ascii="Arial" w:hAnsi="Arial" w:cs="Arial"/>
            <w:sz w:val="18"/>
            <w:szCs w:val="18"/>
          </w:rPr>
          <w:t>zákonem č. 23/2017 Sb.</w:t>
        </w:r>
      </w:hyperlink>
      <w:r w:rsidRPr="00C37F86">
        <w:rPr>
          <w:rFonts w:ascii="Arial" w:hAnsi="Arial" w:cs="Arial"/>
          <w:sz w:val="18"/>
          <w:szCs w:val="18"/>
        </w:rPr>
        <w:t xml:space="preserve">, o pravidlech rozpočtové odpovědnosti. Činnost Národní rozpočtové rady zároveň přispívá k udržitelnosti veřejných financí České republiky a snižuje riziko nadměrného zadlužování státu. Členy Národní rozpočtové rady jsou Eva Zamrazilová (předsedkyně), Richard Hindls a Jan Pavel. Více informací naleznete na </w:t>
      </w:r>
      <w:hyperlink r:id="rId12" w:history="1">
        <w:r w:rsidRPr="00C37F86">
          <w:rPr>
            <w:rStyle w:val="Hypertextovodkaz"/>
            <w:rFonts w:ascii="Arial" w:hAnsi="Arial" w:cs="Arial"/>
            <w:sz w:val="18"/>
            <w:szCs w:val="18"/>
          </w:rPr>
          <w:t>www.unrr.cz</w:t>
        </w:r>
      </w:hyperlink>
    </w:p>
    <w:p w14:paraId="62C632E7" w14:textId="77777777" w:rsidR="00C37F86" w:rsidRDefault="00C37F86" w:rsidP="00C37F86">
      <w:pPr>
        <w:jc w:val="both"/>
        <w:rPr>
          <w:sz w:val="20"/>
          <w:szCs w:val="20"/>
        </w:rPr>
      </w:pPr>
    </w:p>
    <w:p w14:paraId="689BA820" w14:textId="77777777" w:rsidR="00C37F86" w:rsidRPr="00F57835" w:rsidRDefault="00C37F86" w:rsidP="00C37F86">
      <w:pPr>
        <w:rPr>
          <w:sz w:val="20"/>
          <w:szCs w:val="20"/>
        </w:rPr>
      </w:pPr>
      <w:r w:rsidRPr="002842F4">
        <w:rPr>
          <w:sz w:val="20"/>
          <w:szCs w:val="20"/>
          <w:u w:val="single"/>
        </w:rPr>
        <w:t>Kontakt pro média</w:t>
      </w:r>
      <w:r>
        <w:rPr>
          <w:sz w:val="20"/>
          <w:szCs w:val="20"/>
        </w:rPr>
        <w:t>:</w:t>
      </w:r>
      <w:r>
        <w:rPr>
          <w:sz w:val="20"/>
          <w:szCs w:val="20"/>
        </w:rPr>
        <w:br/>
        <w:t>Janis Aliapulios</w:t>
      </w:r>
      <w:r>
        <w:rPr>
          <w:sz w:val="20"/>
          <w:szCs w:val="20"/>
        </w:rPr>
        <w:br/>
        <w:t>+420 774 370 366</w:t>
      </w:r>
      <w:r>
        <w:rPr>
          <w:sz w:val="20"/>
          <w:szCs w:val="20"/>
        </w:rPr>
        <w:br/>
        <w:t>janis.aliapulios@unrr.cz</w:t>
      </w:r>
    </w:p>
    <w:p w14:paraId="6B269B38" w14:textId="77777777" w:rsidR="00C37F86" w:rsidRPr="00C37F86" w:rsidRDefault="00C37F86" w:rsidP="005B3E86">
      <w:pPr>
        <w:tabs>
          <w:tab w:val="left" w:pos="851"/>
          <w:tab w:val="left" w:pos="6804"/>
        </w:tabs>
        <w:spacing w:line="276" w:lineRule="auto"/>
        <w:rPr>
          <w:rFonts w:ascii="Arial" w:hAnsi="Arial" w:cs="Arial"/>
        </w:rPr>
      </w:pPr>
    </w:p>
    <w:p w14:paraId="258C9DB8" w14:textId="5544E155" w:rsidR="00391FA6" w:rsidRPr="00287AD5" w:rsidRDefault="00391FA6" w:rsidP="00287AD5">
      <w:pPr>
        <w:pStyle w:val="Zkladnodstavec"/>
        <w:tabs>
          <w:tab w:val="left" w:pos="851"/>
        </w:tabs>
        <w:spacing w:line="276" w:lineRule="auto"/>
        <w:rPr>
          <w:rFonts w:ascii="Segoe UI" w:hAnsi="Segoe UI" w:cs="Segoe UI"/>
          <w:i/>
          <w:iCs/>
          <w:sz w:val="18"/>
          <w:szCs w:val="18"/>
        </w:rPr>
      </w:pPr>
    </w:p>
    <w:sectPr w:rsidR="00391FA6" w:rsidRPr="00287AD5" w:rsidSect="00A037BD">
      <w:headerReference w:type="default" r:id="rId13"/>
      <w:type w:val="continuous"/>
      <w:pgSz w:w="11906" w:h="16838"/>
      <w:pgMar w:top="1135" w:right="851" w:bottom="567" w:left="851" w:header="426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9C0AD" w14:textId="77777777" w:rsidR="001C716A" w:rsidRDefault="001C716A" w:rsidP="006B2CBF">
      <w:pPr>
        <w:spacing w:after="0" w:line="240" w:lineRule="auto"/>
      </w:pPr>
      <w:r>
        <w:separator/>
      </w:r>
    </w:p>
  </w:endnote>
  <w:endnote w:type="continuationSeparator" w:id="0">
    <w:p w14:paraId="7D61B0E1" w14:textId="77777777" w:rsidR="001C716A" w:rsidRDefault="001C716A" w:rsidP="006B2CBF">
      <w:pPr>
        <w:spacing w:after="0" w:line="240" w:lineRule="auto"/>
      </w:pPr>
      <w:r>
        <w:continuationSeparator/>
      </w:r>
    </w:p>
  </w:endnote>
  <w:endnote w:type="continuationNotice" w:id="1">
    <w:p w14:paraId="4A7DDFBB" w14:textId="77777777" w:rsidR="001C716A" w:rsidRDefault="001C71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7099" w14:textId="6B3797BE" w:rsidR="00312ECB" w:rsidRDefault="00227510" w:rsidP="00032D9B">
    <w:pPr>
      <w:pStyle w:val="Zkladnodstavec"/>
      <w:spacing w:line="360" w:lineRule="auto"/>
      <w:rPr>
        <w:rFonts w:ascii="Arial" w:hAnsi="Arial" w:cs="Arial"/>
        <w:color w:val="808080" w:themeColor="background1" w:themeShade="80"/>
        <w:sz w:val="17"/>
        <w:szCs w:val="17"/>
      </w:rPr>
    </w:pPr>
    <w:r>
      <w:rPr>
        <w:rFonts w:ascii="Arial" w:hAnsi="Arial" w:cs="Arial"/>
        <w:noProof/>
        <w:color w:val="808080" w:themeColor="background1" w:themeShade="80"/>
        <w:sz w:val="17"/>
        <w:szCs w:val="17"/>
      </w:rPr>
      <w:drawing>
        <wp:inline distT="0" distB="0" distL="0" distR="0" wp14:anchorId="0CBE181B" wp14:editId="1FC8339E">
          <wp:extent cx="391153" cy="219761"/>
          <wp:effectExtent l="0" t="0" r="9525" b="8890"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rve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664" cy="234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CC6FC7" w14:textId="1B7416A9" w:rsidR="00312ECB" w:rsidRPr="006F3D8E" w:rsidRDefault="00A5131A" w:rsidP="00A5131A">
    <w:pPr>
      <w:autoSpaceDE w:val="0"/>
      <w:autoSpaceDN w:val="0"/>
      <w:adjustRightInd w:val="0"/>
      <w:spacing w:after="0" w:line="360" w:lineRule="auto"/>
      <w:textAlignment w:val="center"/>
      <w:rPr>
        <w:rFonts w:ascii="Arial" w:hAnsi="Arial" w:cs="Arial"/>
        <w:color w:val="808080" w:themeColor="background1" w:themeShade="80"/>
        <w:sz w:val="17"/>
        <w:szCs w:val="17"/>
      </w:rPr>
    </w:pPr>
    <w:r>
      <w:rPr>
        <w:rFonts w:ascii="Arial" w:hAnsi="Arial" w:cs="Arial"/>
        <w:color w:val="808080" w:themeColor="background1" w:themeShade="80"/>
        <w:sz w:val="17"/>
        <w:szCs w:val="17"/>
      </w:rPr>
      <w:t xml:space="preserve">     </w:t>
    </w:r>
    <w:r w:rsidR="006F16F2">
      <w:rPr>
        <w:rFonts w:ascii="Arial" w:hAnsi="Arial" w:cs="Arial"/>
        <w:color w:val="808080" w:themeColor="background1" w:themeShade="80"/>
        <w:sz w:val="17"/>
        <w:szCs w:val="17"/>
      </w:rPr>
      <w:t xml:space="preserve">Úřad </w:t>
    </w:r>
    <w:r w:rsidR="00312ECB" w:rsidRPr="00312ECB">
      <w:rPr>
        <w:rFonts w:ascii="Arial" w:hAnsi="Arial" w:cs="Arial"/>
        <w:color w:val="808080" w:themeColor="background1" w:themeShade="80"/>
        <w:sz w:val="17"/>
        <w:szCs w:val="17"/>
      </w:rPr>
      <w:t>Národní rozpočtov</w:t>
    </w:r>
    <w:r w:rsidR="006F16F2">
      <w:rPr>
        <w:rFonts w:ascii="Arial" w:hAnsi="Arial" w:cs="Arial"/>
        <w:color w:val="808080" w:themeColor="background1" w:themeShade="80"/>
        <w:sz w:val="17"/>
        <w:szCs w:val="17"/>
      </w:rPr>
      <w:t>é</w:t>
    </w:r>
    <w:r w:rsidR="00312ECB" w:rsidRPr="00312ECB">
      <w:rPr>
        <w:rFonts w:ascii="Arial" w:hAnsi="Arial" w:cs="Arial"/>
        <w:color w:val="808080" w:themeColor="background1" w:themeShade="80"/>
        <w:sz w:val="17"/>
        <w:szCs w:val="17"/>
      </w:rPr>
      <w:t xml:space="preserve"> rad</w:t>
    </w:r>
    <w:r w:rsidR="006F16F2">
      <w:rPr>
        <w:rFonts w:ascii="Arial" w:hAnsi="Arial" w:cs="Arial"/>
        <w:color w:val="808080" w:themeColor="background1" w:themeShade="80"/>
        <w:sz w:val="17"/>
        <w:szCs w:val="17"/>
      </w:rPr>
      <w:t>y</w:t>
    </w:r>
    <w:r w:rsidR="00312ECB" w:rsidRPr="00312ECB">
      <w:rPr>
        <w:rFonts w:ascii="Arial" w:hAnsi="Arial" w:cs="Arial"/>
        <w:color w:val="808080" w:themeColor="background1" w:themeShade="80"/>
        <w:sz w:val="17"/>
        <w:szCs w:val="17"/>
      </w:rPr>
      <w:t xml:space="preserve"> </w:t>
    </w:r>
    <w:r>
      <w:rPr>
        <w:rFonts w:ascii="Arial" w:hAnsi="Arial" w:cs="Arial"/>
        <w:color w:val="808080" w:themeColor="background1" w:themeShade="80"/>
        <w:sz w:val="17"/>
        <w:szCs w:val="17"/>
      </w:rPr>
      <w:tab/>
    </w:r>
    <w:r>
      <w:rPr>
        <w:rFonts w:ascii="Arial" w:hAnsi="Arial" w:cs="Arial"/>
        <w:color w:val="808080" w:themeColor="background1" w:themeShade="80"/>
        <w:sz w:val="17"/>
        <w:szCs w:val="17"/>
      </w:rPr>
      <w:tab/>
    </w:r>
    <w:r>
      <w:rPr>
        <w:rFonts w:ascii="Arial" w:hAnsi="Arial" w:cs="Arial"/>
        <w:color w:val="808080" w:themeColor="background1" w:themeShade="80"/>
        <w:sz w:val="17"/>
        <w:szCs w:val="17"/>
      </w:rPr>
      <w:tab/>
    </w:r>
    <w:r w:rsidR="007113E6">
      <w:rPr>
        <w:rFonts w:ascii="Arial" w:hAnsi="Arial" w:cs="Arial"/>
        <w:color w:val="808080" w:themeColor="background1" w:themeShade="80"/>
        <w:sz w:val="17"/>
        <w:szCs w:val="17"/>
      </w:rPr>
      <w:t>+420 227 771 010</w:t>
    </w:r>
  </w:p>
  <w:p w14:paraId="05E9091A" w14:textId="584FBFF0" w:rsidR="00312ECB" w:rsidRPr="00A5131A" w:rsidRDefault="00A5131A" w:rsidP="00A5131A">
    <w:pPr>
      <w:autoSpaceDE w:val="0"/>
      <w:autoSpaceDN w:val="0"/>
      <w:adjustRightInd w:val="0"/>
      <w:spacing w:after="0" w:line="360" w:lineRule="auto"/>
      <w:textAlignment w:val="center"/>
      <w:rPr>
        <w:rFonts w:ascii="Arial" w:hAnsi="Arial" w:cs="Arial"/>
        <w:color w:val="808080" w:themeColor="background1" w:themeShade="80"/>
        <w:sz w:val="17"/>
        <w:szCs w:val="17"/>
      </w:rPr>
    </w:pPr>
    <w:r>
      <w:rPr>
        <w:rFonts w:ascii="Arial" w:hAnsi="Arial" w:cs="Arial"/>
        <w:color w:val="808080" w:themeColor="background1" w:themeShade="80"/>
        <w:sz w:val="17"/>
        <w:szCs w:val="17"/>
      </w:rPr>
      <w:t xml:space="preserve">     </w:t>
    </w:r>
    <w:r w:rsidR="00312ECB" w:rsidRPr="00312ECB">
      <w:rPr>
        <w:rFonts w:ascii="Arial" w:hAnsi="Arial" w:cs="Arial"/>
        <w:color w:val="808080" w:themeColor="background1" w:themeShade="80"/>
        <w:sz w:val="17"/>
        <w:szCs w:val="17"/>
      </w:rPr>
      <w:t>Holečkova 103/31, 150 00 Praha 5</w:t>
    </w:r>
    <w:r>
      <w:rPr>
        <w:rFonts w:ascii="Arial" w:hAnsi="Arial" w:cs="Arial"/>
        <w:color w:val="808080" w:themeColor="background1" w:themeShade="80"/>
        <w:sz w:val="17"/>
        <w:szCs w:val="17"/>
      </w:rPr>
      <w:tab/>
    </w:r>
    <w:r>
      <w:rPr>
        <w:rFonts w:ascii="Arial" w:hAnsi="Arial" w:cs="Arial"/>
        <w:color w:val="808080" w:themeColor="background1" w:themeShade="80"/>
        <w:sz w:val="17"/>
        <w:szCs w:val="17"/>
      </w:rPr>
      <w:tab/>
    </w:r>
    <w:r w:rsidR="007113E6">
      <w:rPr>
        <w:rFonts w:ascii="Arial" w:hAnsi="Arial" w:cs="Arial"/>
        <w:color w:val="808080" w:themeColor="background1" w:themeShade="80"/>
        <w:sz w:val="17"/>
        <w:szCs w:val="17"/>
      </w:rPr>
      <w:t>podatelna@unnr.cz</w:t>
    </w:r>
  </w:p>
  <w:p w14:paraId="580EDBD2" w14:textId="24AB307D" w:rsidR="00032D9B" w:rsidRPr="00A5131A" w:rsidRDefault="00A5131A" w:rsidP="00A5131A">
    <w:pPr>
      <w:spacing w:line="360" w:lineRule="auto"/>
      <w:rPr>
        <w:rFonts w:ascii="Arial" w:hAnsi="Arial" w:cs="Arial"/>
        <w:color w:val="808080" w:themeColor="background1" w:themeShade="80"/>
      </w:rPr>
    </w:pPr>
    <w:r>
      <w:rPr>
        <w:rFonts w:ascii="Arial" w:hAnsi="Arial" w:cs="Arial"/>
        <w:color w:val="808080" w:themeColor="background1" w:themeShade="80"/>
        <w:sz w:val="17"/>
        <w:szCs w:val="17"/>
      </w:rPr>
      <w:t xml:space="preserve">     </w:t>
    </w:r>
    <w:r w:rsidR="00312ECB" w:rsidRPr="00312ECB">
      <w:rPr>
        <w:rFonts w:ascii="Arial" w:hAnsi="Arial" w:cs="Arial"/>
        <w:color w:val="808080" w:themeColor="background1" w:themeShade="80"/>
        <w:sz w:val="17"/>
        <w:szCs w:val="17"/>
      </w:rPr>
      <w:t>www.</w:t>
    </w:r>
    <w:r w:rsidR="00287AD5">
      <w:rPr>
        <w:rFonts w:ascii="Arial" w:hAnsi="Arial" w:cs="Arial"/>
        <w:color w:val="808080" w:themeColor="background1" w:themeShade="80"/>
        <w:sz w:val="17"/>
        <w:szCs w:val="17"/>
      </w:rPr>
      <w:t>rozpoctovarada</w:t>
    </w:r>
    <w:r w:rsidR="00312ECB" w:rsidRPr="00312ECB">
      <w:rPr>
        <w:rFonts w:ascii="Arial" w:hAnsi="Arial" w:cs="Arial"/>
        <w:color w:val="808080" w:themeColor="background1" w:themeShade="80"/>
        <w:sz w:val="17"/>
        <w:szCs w:val="17"/>
      </w:rPr>
      <w:t>.c</w:t>
    </w:r>
    <w:r w:rsidR="00555CFB">
      <w:rPr>
        <w:rFonts w:ascii="Arial" w:hAnsi="Arial" w:cs="Arial"/>
        <w:color w:val="808080" w:themeColor="background1" w:themeShade="80"/>
        <w:sz w:val="17"/>
        <w:szCs w:val="17"/>
      </w:rPr>
      <w:t>z</w:t>
    </w:r>
    <w:r w:rsidR="0022724B">
      <w:rPr>
        <w:rFonts w:ascii="Arial" w:hAnsi="Arial" w:cs="Arial"/>
        <w:color w:val="808080" w:themeColor="background1" w:themeShade="80"/>
        <w:sz w:val="17"/>
        <w:szCs w:val="17"/>
      </w:rPr>
      <w:tab/>
    </w:r>
    <w:r>
      <w:rPr>
        <w:rFonts w:ascii="Arial" w:hAnsi="Arial" w:cs="Arial"/>
        <w:color w:val="808080" w:themeColor="background1" w:themeShade="80"/>
        <w:sz w:val="17"/>
        <w:szCs w:val="17"/>
      </w:rPr>
      <w:tab/>
    </w:r>
    <w:r>
      <w:rPr>
        <w:rFonts w:ascii="Arial" w:hAnsi="Arial" w:cs="Arial"/>
        <w:color w:val="808080" w:themeColor="background1" w:themeShade="80"/>
        <w:sz w:val="17"/>
        <w:szCs w:val="17"/>
      </w:rPr>
      <w:tab/>
    </w:r>
    <w:r>
      <w:rPr>
        <w:rFonts w:ascii="Arial" w:hAnsi="Arial" w:cs="Arial"/>
        <w:color w:val="808080" w:themeColor="background1" w:themeShade="80"/>
        <w:sz w:val="17"/>
        <w:szCs w:val="17"/>
      </w:rPr>
      <w:tab/>
    </w:r>
    <w:r w:rsidR="007113E6">
      <w:rPr>
        <w:rFonts w:ascii="Arial" w:hAnsi="Arial" w:cs="Arial"/>
        <w:color w:val="808080" w:themeColor="background1" w:themeShade="80"/>
        <w:sz w:val="17"/>
        <w:szCs w:val="17"/>
      </w:rPr>
      <w:t>ID datové schránky: mmu3ubg</w:t>
    </w:r>
    <w:r w:rsidR="00555CFB">
      <w:rPr>
        <w:rFonts w:ascii="Arial" w:hAnsi="Arial" w:cs="Arial"/>
        <w:color w:val="808080" w:themeColor="background1" w:themeShade="80"/>
        <w:sz w:val="17"/>
        <w:szCs w:val="17"/>
      </w:rPr>
      <w:tab/>
    </w:r>
    <w:r w:rsidR="0022724B">
      <w:rPr>
        <w:rFonts w:ascii="Arial" w:hAnsi="Arial" w:cs="Arial"/>
        <w:color w:val="808080" w:themeColor="background1" w:themeShade="80"/>
        <w:sz w:val="17"/>
        <w:szCs w:val="17"/>
      </w:rPr>
      <w:tab/>
    </w:r>
    <w:r w:rsidR="00555CFB">
      <w:rPr>
        <w:rFonts w:ascii="Arial" w:hAnsi="Arial" w:cs="Arial"/>
        <w:color w:val="808080" w:themeColor="background1" w:themeShade="80"/>
        <w:sz w:val="17"/>
        <w:szCs w:val="17"/>
      </w:rPr>
      <w:tab/>
    </w:r>
    <w:r w:rsidR="00555CFB">
      <w:rPr>
        <w:rFonts w:ascii="Arial" w:hAnsi="Arial" w:cs="Arial"/>
        <w:color w:val="808080" w:themeColor="background1" w:themeShade="80"/>
        <w:sz w:val="17"/>
        <w:szCs w:val="17"/>
      </w:rPr>
      <w:tab/>
    </w:r>
    <w:r w:rsidR="0022724B">
      <w:rPr>
        <w:rFonts w:ascii="Arial" w:hAnsi="Arial" w:cs="Arial"/>
        <w:color w:val="808080" w:themeColor="background1" w:themeShade="80"/>
        <w:sz w:val="17"/>
        <w:szCs w:val="17"/>
      </w:rPr>
      <w:tab/>
    </w:r>
    <w:r w:rsidR="0022724B" w:rsidRPr="0022724B">
      <w:rPr>
        <w:rFonts w:ascii="Arial" w:hAnsi="Arial" w:cs="Arial"/>
        <w:color w:val="808080" w:themeColor="background1" w:themeShade="80"/>
        <w:sz w:val="17"/>
        <w:szCs w:val="17"/>
      </w:rPr>
      <w:fldChar w:fldCharType="begin"/>
    </w:r>
    <w:r w:rsidR="0022724B" w:rsidRPr="0022724B">
      <w:rPr>
        <w:rFonts w:ascii="Arial" w:hAnsi="Arial" w:cs="Arial"/>
        <w:color w:val="808080" w:themeColor="background1" w:themeShade="80"/>
        <w:sz w:val="17"/>
        <w:szCs w:val="17"/>
      </w:rPr>
      <w:instrText>PAGE   \* MERGEFORMAT</w:instrText>
    </w:r>
    <w:r w:rsidR="0022724B" w:rsidRPr="0022724B">
      <w:rPr>
        <w:rFonts w:ascii="Arial" w:hAnsi="Arial" w:cs="Arial"/>
        <w:color w:val="808080" w:themeColor="background1" w:themeShade="80"/>
        <w:sz w:val="17"/>
        <w:szCs w:val="17"/>
      </w:rPr>
      <w:fldChar w:fldCharType="separate"/>
    </w:r>
    <w:r w:rsidR="0022724B" w:rsidRPr="0022724B">
      <w:rPr>
        <w:rFonts w:ascii="Arial" w:hAnsi="Arial" w:cs="Arial"/>
        <w:color w:val="808080" w:themeColor="background1" w:themeShade="80"/>
        <w:sz w:val="17"/>
        <w:szCs w:val="17"/>
      </w:rPr>
      <w:t>1</w:t>
    </w:r>
    <w:r w:rsidR="0022724B" w:rsidRPr="0022724B">
      <w:rPr>
        <w:rFonts w:ascii="Arial" w:hAnsi="Arial" w:cs="Arial"/>
        <w:color w:val="808080" w:themeColor="background1" w:themeShade="80"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BA641" w14:textId="77777777" w:rsidR="001C716A" w:rsidRDefault="001C716A" w:rsidP="006B2CBF">
      <w:pPr>
        <w:spacing w:after="0" w:line="240" w:lineRule="auto"/>
      </w:pPr>
      <w:r>
        <w:separator/>
      </w:r>
    </w:p>
  </w:footnote>
  <w:footnote w:type="continuationSeparator" w:id="0">
    <w:p w14:paraId="690784E2" w14:textId="77777777" w:rsidR="001C716A" w:rsidRDefault="001C716A" w:rsidP="006B2CBF">
      <w:pPr>
        <w:spacing w:after="0" w:line="240" w:lineRule="auto"/>
      </w:pPr>
      <w:r>
        <w:continuationSeparator/>
      </w:r>
    </w:p>
  </w:footnote>
  <w:footnote w:type="continuationNotice" w:id="1">
    <w:p w14:paraId="6D4BA494" w14:textId="77777777" w:rsidR="001C716A" w:rsidRDefault="001C71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84CAF" w14:textId="77777777" w:rsidR="006B2CBF" w:rsidRDefault="006F16F2" w:rsidP="006B2CBF">
    <w:pPr>
      <w:pStyle w:val="Zhlav"/>
      <w:ind w:left="-567"/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F1174C8" wp14:editId="1BB9F7D9">
          <wp:simplePos x="0" y="0"/>
          <wp:positionH relativeFrom="column">
            <wp:posOffset>-343535</wp:posOffset>
          </wp:positionH>
          <wp:positionV relativeFrom="paragraph">
            <wp:posOffset>135890</wp:posOffset>
          </wp:positionV>
          <wp:extent cx="2856206" cy="1320800"/>
          <wp:effectExtent l="0" t="0" r="0" b="0"/>
          <wp:wrapNone/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RR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6206" cy="132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C7BD" w14:textId="5A89BD85" w:rsidR="00A037BD" w:rsidRDefault="00A037BD" w:rsidP="006B2CBF">
    <w:pPr>
      <w:pStyle w:val="Zhlav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BF"/>
    <w:rsid w:val="00024C9C"/>
    <w:rsid w:val="00024FF4"/>
    <w:rsid w:val="00026B04"/>
    <w:rsid w:val="00032D9B"/>
    <w:rsid w:val="00054A78"/>
    <w:rsid w:val="00067C6A"/>
    <w:rsid w:val="00084784"/>
    <w:rsid w:val="00095006"/>
    <w:rsid w:val="001B3DF4"/>
    <w:rsid w:val="001C716A"/>
    <w:rsid w:val="002164E2"/>
    <w:rsid w:val="0021721C"/>
    <w:rsid w:val="0022724B"/>
    <w:rsid w:val="00227510"/>
    <w:rsid w:val="00287AD5"/>
    <w:rsid w:val="003111F9"/>
    <w:rsid w:val="00312ECB"/>
    <w:rsid w:val="0035764A"/>
    <w:rsid w:val="00391FA6"/>
    <w:rsid w:val="003952ED"/>
    <w:rsid w:val="003E07B6"/>
    <w:rsid w:val="004011B7"/>
    <w:rsid w:val="005162C0"/>
    <w:rsid w:val="00555CFB"/>
    <w:rsid w:val="005A1149"/>
    <w:rsid w:val="005B3E86"/>
    <w:rsid w:val="00650A87"/>
    <w:rsid w:val="006A34A1"/>
    <w:rsid w:val="006B2CBF"/>
    <w:rsid w:val="006B3338"/>
    <w:rsid w:val="006F16F2"/>
    <w:rsid w:val="006F3D8E"/>
    <w:rsid w:val="007113E6"/>
    <w:rsid w:val="007741F5"/>
    <w:rsid w:val="007C27D3"/>
    <w:rsid w:val="007D7896"/>
    <w:rsid w:val="008005C2"/>
    <w:rsid w:val="00815E32"/>
    <w:rsid w:val="00837D57"/>
    <w:rsid w:val="00844C35"/>
    <w:rsid w:val="00861D35"/>
    <w:rsid w:val="00877CAD"/>
    <w:rsid w:val="008A0E28"/>
    <w:rsid w:val="008E44A2"/>
    <w:rsid w:val="00906939"/>
    <w:rsid w:val="00931C1A"/>
    <w:rsid w:val="00985F16"/>
    <w:rsid w:val="00A037BD"/>
    <w:rsid w:val="00A432E9"/>
    <w:rsid w:val="00A5131A"/>
    <w:rsid w:val="00AE5452"/>
    <w:rsid w:val="00B5025D"/>
    <w:rsid w:val="00B5061F"/>
    <w:rsid w:val="00B72D07"/>
    <w:rsid w:val="00BA274A"/>
    <w:rsid w:val="00BF4638"/>
    <w:rsid w:val="00C37F86"/>
    <w:rsid w:val="00CA103D"/>
    <w:rsid w:val="00CE2923"/>
    <w:rsid w:val="00CF76C0"/>
    <w:rsid w:val="00D31162"/>
    <w:rsid w:val="00D7777B"/>
    <w:rsid w:val="00D979D9"/>
    <w:rsid w:val="00DC3163"/>
    <w:rsid w:val="00DF3646"/>
    <w:rsid w:val="00EC1367"/>
    <w:rsid w:val="00EF73FB"/>
    <w:rsid w:val="00F27B65"/>
    <w:rsid w:val="00F361A4"/>
    <w:rsid w:val="00F74336"/>
    <w:rsid w:val="00F81313"/>
    <w:rsid w:val="00FB120D"/>
    <w:rsid w:val="00FD1468"/>
    <w:rsid w:val="00FE10CE"/>
    <w:rsid w:val="00FF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5B76A"/>
  <w15:chartTrackingRefBased/>
  <w15:docId w15:val="{17F242D4-F034-4445-912D-A621295C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CBF"/>
  </w:style>
  <w:style w:type="paragraph" w:styleId="Zpat">
    <w:name w:val="footer"/>
    <w:basedOn w:val="Normln"/>
    <w:link w:val="ZpatChar"/>
    <w:uiPriority w:val="99"/>
    <w:unhideWhenUsed/>
    <w:rsid w:val="006B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CBF"/>
  </w:style>
  <w:style w:type="paragraph" w:customStyle="1" w:styleId="Zkladnodstavec">
    <w:name w:val="[Základní odstavec]"/>
    <w:basedOn w:val="Normln"/>
    <w:uiPriority w:val="99"/>
    <w:rsid w:val="00032D9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55C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5CF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unrr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zakonyprolidi.cz/cs/2017-2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6F96B3635EB47A61541A8B676E701" ma:contentTypeVersion="10" ma:contentTypeDescription="Vytvoří nový dokument" ma:contentTypeScope="" ma:versionID="da4989b17228866b36b0251ee05b970a">
  <xsd:schema xmlns:xsd="http://www.w3.org/2001/XMLSchema" xmlns:xs="http://www.w3.org/2001/XMLSchema" xmlns:p="http://schemas.microsoft.com/office/2006/metadata/properties" xmlns:ns2="03d09f60-37ca-4bd5-8e74-fea7cc6b8b2a" targetNamespace="http://schemas.microsoft.com/office/2006/metadata/properties" ma:root="true" ma:fieldsID="39dc2acee923fc40fe0457787143cb61" ns2:_="">
    <xsd:import namespace="03d09f60-37ca-4bd5-8e74-fea7cc6b8b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09f60-37ca-4bd5-8e74-fea7cc6b8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143F7-5C9F-4BEB-9EBF-79C87C7EF5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609E09-5AA9-4326-9062-9937B280F8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45073E-B776-4822-9D5E-FF70367AB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09f60-37ca-4bd5-8e74-fea7cc6b8b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731</Words>
  <Characters>4314</Characters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2021-06-21T09:12:00Z</cp:lastPrinted>
  <dcterms:created xsi:type="dcterms:W3CDTF">2020-06-24T06:36:00Z</dcterms:created>
  <dcterms:modified xsi:type="dcterms:W3CDTF">2021-06-21T11:27:00Z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0x01010014F6F96B3635EB47A61541A8B676E701</vt:lpwstr>
  </property>
</Properties>
</file>